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E0687">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二广高速公路洛阳城区段朱家仓互通改扩建工程竣工决算、工程审计、财务竣工决算审计服务项目招标代理机构遴选</w:t>
      </w:r>
      <w:r>
        <w:rPr>
          <w:rFonts w:hint="eastAsia" w:ascii="仿宋" w:hAnsi="仿宋" w:eastAsia="仿宋" w:cs="仿宋"/>
          <w:b/>
          <w:bCs/>
          <w:color w:val="auto"/>
          <w:sz w:val="32"/>
          <w:szCs w:val="32"/>
          <w:highlight w:val="none"/>
        </w:rPr>
        <w:t>公告</w:t>
      </w:r>
      <w:bookmarkStart w:id="1" w:name="_GoBack"/>
      <w:bookmarkEnd w:id="1"/>
    </w:p>
    <w:p w14:paraId="207C6BA1">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lang w:val="en-US" w:eastAsia="zh-CN"/>
        </w:rPr>
        <w:t>5</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04</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21</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10</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00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洛阳市交通运输事业发展中心615会议室 </w:t>
      </w:r>
      <w:r>
        <w:rPr>
          <w:rFonts w:hint="eastAsia" w:ascii="仿宋" w:hAnsi="仿宋" w:eastAsia="仿宋" w:cs="仿宋"/>
          <w:color w:val="auto"/>
          <w:sz w:val="28"/>
          <w:szCs w:val="28"/>
          <w:highlight w:val="none"/>
        </w:rPr>
        <w:t>召开</w:t>
      </w:r>
      <w:r>
        <w:rPr>
          <w:rFonts w:hint="eastAsia" w:ascii="仿宋" w:hAnsi="仿宋" w:eastAsia="仿宋" w:cs="仿宋"/>
          <w:sz w:val="28"/>
          <w:szCs w:val="28"/>
          <w:u w:val="single"/>
          <w:lang w:val="en-US" w:eastAsia="zh-CN"/>
        </w:rPr>
        <w:t>二广高速公路洛阳城区段朱家仓互通改扩建工程竣工决算、工程审计、财务竣工决算审计服务项目招标代理机构遴选</w:t>
      </w:r>
      <w:r>
        <w:rPr>
          <w:rFonts w:hint="eastAsia" w:ascii="仿宋" w:hAnsi="仿宋" w:eastAsia="仿宋" w:cs="仿宋"/>
          <w:color w:val="auto"/>
          <w:sz w:val="28"/>
          <w:szCs w:val="28"/>
          <w:highlight w:val="none"/>
        </w:rPr>
        <w:t>会议，欢迎各符合要求的招标代理机构参加此次遴选活动，现将遴选内容公告如下：</w:t>
      </w:r>
    </w:p>
    <w:p w14:paraId="0075C957">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14:paraId="1AC17B8C">
      <w:pPr>
        <w:spacing w:line="46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rPr>
        <w:t>：</w:t>
      </w:r>
      <w:r>
        <w:rPr>
          <w:rFonts w:hint="eastAsia" w:ascii="仿宋" w:hAnsi="仿宋" w:eastAsia="仿宋" w:cs="仿宋"/>
          <w:sz w:val="28"/>
          <w:szCs w:val="28"/>
          <w:u w:val="single"/>
          <w:lang w:val="en-US" w:eastAsia="zh-CN"/>
        </w:rPr>
        <w:t>二广高速公路洛阳城区段朱家仓互通改扩建工程竣工决算、工程审计、财务竣工决算审计服务项目招标代理机构遴选</w:t>
      </w:r>
      <w:r>
        <w:rPr>
          <w:rFonts w:hint="eastAsia" w:ascii="仿宋" w:hAnsi="仿宋" w:eastAsia="仿宋" w:cs="仿宋"/>
          <w:color w:val="auto"/>
          <w:sz w:val="32"/>
          <w:szCs w:val="32"/>
          <w:highlight w:val="none"/>
          <w:u w:val="single"/>
          <w:lang w:eastAsia="zh-CN"/>
        </w:rPr>
        <w:t>。</w:t>
      </w:r>
    </w:p>
    <w:p w14:paraId="4610F4C3">
      <w:pPr>
        <w:spacing w:line="460" w:lineRule="exact"/>
        <w:ind w:firstLine="560" w:firstLineChars="200"/>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sz w:val="28"/>
          <w:szCs w:val="28"/>
          <w:u w:val="single"/>
          <w:lang w:val="en-US" w:eastAsia="zh-CN"/>
        </w:rPr>
        <w:t>二广高速公路洛阳城区段朱家仓互通改扩建工程竣工决算、工程审计、财务竣工决算审计服务项目招标代理机构遴选。</w:t>
      </w:r>
    </w:p>
    <w:p w14:paraId="615D2DFC">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w:t>
      </w:r>
      <w:r>
        <w:rPr>
          <w:rFonts w:hint="eastAsia" w:ascii="仿宋" w:hAnsi="仿宋" w:eastAsia="仿宋" w:cs="仿宋"/>
          <w:color w:val="auto"/>
          <w:kern w:val="2"/>
          <w:sz w:val="28"/>
          <w:szCs w:val="28"/>
          <w:highlight w:val="none"/>
          <w:u w:val="single"/>
          <w:lang w:val="en-US" w:eastAsia="zh-CN"/>
        </w:rPr>
        <w:t>财政</w:t>
      </w:r>
      <w:r>
        <w:rPr>
          <w:rFonts w:hint="eastAsia" w:ascii="仿宋" w:hAnsi="仿宋" w:eastAsia="仿宋" w:cs="仿宋"/>
          <w:color w:val="auto"/>
          <w:kern w:val="2"/>
          <w:sz w:val="28"/>
          <w:szCs w:val="28"/>
          <w:highlight w:val="none"/>
          <w:u w:val="single"/>
        </w:rPr>
        <w:t>资金</w:t>
      </w:r>
      <w:r>
        <w:rPr>
          <w:rFonts w:hint="eastAsia" w:ascii="仿宋" w:hAnsi="仿宋" w:eastAsia="仿宋" w:cs="仿宋"/>
          <w:color w:val="auto"/>
          <w:kern w:val="2"/>
          <w:sz w:val="28"/>
          <w:szCs w:val="28"/>
          <w:highlight w:val="none"/>
          <w:u w:val="none"/>
          <w:lang w:eastAsia="zh-CN"/>
        </w:rPr>
        <w:t>，</w:t>
      </w:r>
      <w:r>
        <w:rPr>
          <w:rFonts w:hint="eastAsia" w:ascii="仿宋" w:hAnsi="仿宋" w:eastAsia="仿宋" w:cs="仿宋"/>
          <w:color w:val="auto"/>
          <w:kern w:val="2"/>
          <w:sz w:val="28"/>
          <w:szCs w:val="28"/>
          <w:highlight w:val="none"/>
          <w:u w:val="single"/>
          <w:lang w:val="en-US" w:eastAsia="zh-CN"/>
        </w:rPr>
        <w:t>364100.51</w:t>
      </w:r>
      <w:r>
        <w:rPr>
          <w:rFonts w:hint="eastAsia" w:ascii="仿宋" w:hAnsi="仿宋" w:eastAsia="仿宋" w:cs="仿宋"/>
          <w:color w:val="auto"/>
          <w:kern w:val="2"/>
          <w:sz w:val="28"/>
          <w:szCs w:val="28"/>
          <w:highlight w:val="none"/>
          <w:lang w:val="en-US" w:eastAsia="zh-CN"/>
        </w:rPr>
        <w:t>元</w:t>
      </w:r>
      <w:r>
        <w:rPr>
          <w:rFonts w:hint="eastAsia" w:ascii="仿宋" w:hAnsi="仿宋" w:eastAsia="仿宋" w:cs="仿宋"/>
          <w:color w:val="auto"/>
          <w:kern w:val="2"/>
          <w:sz w:val="28"/>
          <w:szCs w:val="28"/>
          <w:highlight w:val="none"/>
        </w:rPr>
        <w:t>；</w:t>
      </w:r>
    </w:p>
    <w:p w14:paraId="0815ED12">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14:paraId="193B36B6">
      <w:pPr>
        <w:pStyle w:val="3"/>
        <w:spacing w:line="460" w:lineRule="exact"/>
        <w:ind w:firstLine="602"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14:paraId="5D1313FA">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14:paraId="591F3D20">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14:paraId="4F90B29C">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14:paraId="33CE49AC">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14:paraId="1AFEB5C9">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5、近两年不少于</w:t>
      </w:r>
      <w:r>
        <w:rPr>
          <w:rFonts w:hint="eastAsia" w:ascii="仿宋" w:hAnsi="仿宋" w:eastAsia="仿宋" w:cs="仿宋"/>
          <w:color w:val="auto"/>
          <w:kern w:val="2"/>
          <w:sz w:val="28"/>
          <w:szCs w:val="28"/>
          <w:highlight w:val="none"/>
          <w:lang w:val="en-US" w:eastAsia="zh-CN"/>
        </w:rPr>
        <w:t>一</w:t>
      </w:r>
      <w:r>
        <w:rPr>
          <w:rFonts w:hint="eastAsia" w:ascii="仿宋" w:hAnsi="仿宋" w:eastAsia="仿宋" w:cs="仿宋"/>
          <w:color w:val="auto"/>
          <w:kern w:val="2"/>
          <w:sz w:val="28"/>
          <w:szCs w:val="28"/>
          <w:highlight w:val="none"/>
        </w:rPr>
        <w:t>项</w:t>
      </w:r>
      <w:r>
        <w:rPr>
          <w:rFonts w:hint="eastAsia" w:ascii="仿宋" w:hAnsi="仿宋" w:eastAsia="仿宋" w:cs="仿宋"/>
          <w:color w:val="auto"/>
          <w:kern w:val="2"/>
          <w:sz w:val="28"/>
          <w:szCs w:val="28"/>
          <w:highlight w:val="none"/>
          <w:lang w:val="en-US" w:eastAsia="zh-CN"/>
        </w:rPr>
        <w:t>审计</w:t>
      </w:r>
      <w:r>
        <w:rPr>
          <w:rFonts w:hint="eastAsia" w:ascii="仿宋" w:hAnsi="仿宋" w:eastAsia="仿宋" w:cs="仿宋"/>
          <w:color w:val="auto"/>
          <w:kern w:val="2"/>
          <w:sz w:val="28"/>
          <w:szCs w:val="28"/>
          <w:highlight w:val="none"/>
        </w:rPr>
        <w:t>招标业绩证明资料（加盖公章的合同复印件及业绩中标公示网上截图）</w:t>
      </w:r>
    </w:p>
    <w:p w14:paraId="1BF12826">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14:paraId="73F58C24">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14:paraId="302D7914">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w:t>
      </w:r>
      <w:r>
        <w:rPr>
          <w:rFonts w:hint="eastAsia" w:ascii="仿宋" w:hAnsi="仿宋" w:eastAsia="仿宋" w:cs="仿宋"/>
          <w:color w:val="auto"/>
          <w:kern w:val="2"/>
          <w:sz w:val="28"/>
          <w:szCs w:val="28"/>
          <w:highlight w:val="none"/>
          <w:lang w:val="en-US" w:eastAsia="zh-CN"/>
        </w:rPr>
        <w:t>行业</w:t>
      </w:r>
      <w:r>
        <w:rPr>
          <w:rFonts w:hint="eastAsia" w:ascii="仿宋" w:hAnsi="仿宋" w:eastAsia="仿宋" w:cs="仿宋"/>
          <w:color w:val="auto"/>
          <w:kern w:val="2"/>
          <w:sz w:val="28"/>
          <w:szCs w:val="28"/>
          <w:highlight w:val="none"/>
        </w:rPr>
        <w:t>招标范本等相关内容，对本次招标服务的工作内容、工作方法、工作流程编制合理、科学、有效及针对性强的招标方案，对实施要点、工作重难点进行分析，制定确保招标工作规范完成的保证措施和应急措施。</w:t>
      </w:r>
    </w:p>
    <w:p w14:paraId="21734813">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14:paraId="5EE73047">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（1）代理机构须承诺在本项目招标工作过程中遵守招投标相关规定能够公开、公平、公正、专业的从事本项目招标工作。</w:t>
      </w:r>
    </w:p>
    <w:p w14:paraId="361F3449">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14:paraId="7AB72A0E">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14:paraId="03A06FC9">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14:paraId="345D2DC4">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14:paraId="01A808C9">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14:paraId="58606AB2">
      <w:pPr>
        <w:pStyle w:val="3"/>
        <w:spacing w:line="46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14:paraId="1CD1B4DF">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14:paraId="49109213">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14:paraId="19774A73">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14:paraId="2199E3CF">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14:paraId="214A23F0">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14:paraId="3EBF5BFD">
      <w:pPr>
        <w:pStyle w:val="3"/>
        <w:spacing w:line="460" w:lineRule="exact"/>
        <w:ind w:firstLine="560" w:firstLineChars="200"/>
        <w:rPr>
          <w:rFonts w:hint="eastAsia" w:ascii="仿宋" w:hAnsi="仿宋" w:eastAsia="仿宋" w:cs="仿宋"/>
          <w:color w:val="auto"/>
          <w:sz w:val="28"/>
          <w:szCs w:val="28"/>
          <w:highlight w:val="none"/>
          <w:lang w:val="en-US" w:eastAsia="zh-CN"/>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14:paraId="29E5FCCD">
      <w:pPr>
        <w:pStyle w:val="3"/>
        <w:spacing w:line="46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14:paraId="354368E2">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18</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p>
    <w:p w14:paraId="077372EB">
      <w:pPr>
        <w:pStyle w:val="3"/>
        <w:spacing w:line="4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洛阳市交通运输事业发展中心704室。</w:t>
      </w:r>
    </w:p>
    <w:p w14:paraId="0E97AA0B">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14:paraId="1FF1B6AF">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r>
        <w:rPr>
          <w:rFonts w:hint="eastAsia" w:ascii="仿宋" w:hAnsi="仿宋" w:eastAsia="仿宋" w:cs="仿宋"/>
          <w:color w:val="auto"/>
          <w:sz w:val="28"/>
          <w:szCs w:val="28"/>
          <w:highlight w:val="none"/>
          <w:lang w:val="en-US" w:eastAsia="zh-CN"/>
        </w:rPr>
        <w:t>复印件并加盖公章</w:t>
      </w:r>
      <w:r>
        <w:rPr>
          <w:rFonts w:hint="eastAsia" w:ascii="仿宋" w:hAnsi="仿宋" w:eastAsia="仿宋" w:cs="仿宋"/>
          <w:color w:val="auto"/>
          <w:sz w:val="28"/>
          <w:szCs w:val="28"/>
          <w:highlight w:val="none"/>
        </w:rPr>
        <w:t>。</w:t>
      </w:r>
    </w:p>
    <w:p w14:paraId="2F67C4C8">
      <w:pPr>
        <w:pStyle w:val="3"/>
        <w:spacing w:line="46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p>
    <w:p w14:paraId="45A11D12">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p>
    <w:p w14:paraId="552C5C50">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2、地点：响应文件递交地点洛阳市交通运输事业发展中心615会议室</w:t>
      </w:r>
      <w:r>
        <w:rPr>
          <w:rFonts w:hint="eastAsia" w:ascii="仿宋" w:hAnsi="仿宋" w:eastAsia="仿宋" w:cs="仿宋"/>
          <w:color w:val="auto"/>
          <w:sz w:val="28"/>
          <w:szCs w:val="28"/>
          <w:highlight w:val="none"/>
          <w:lang w:eastAsia="zh-CN"/>
        </w:rPr>
        <w:t>。</w:t>
      </w:r>
    </w:p>
    <w:p w14:paraId="6A22B01C">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已报名的单位递交相关遴选响应纸质文件（包括正本1份，副本2份），逾期视为放弃；参与遴选的单位对递交资料的合法性、真实性、完整性、准确性负法律责</w:t>
      </w:r>
      <w:r>
        <w:rPr>
          <w:rFonts w:hint="eastAsia" w:ascii="仿宋" w:hAnsi="仿宋" w:eastAsia="仿宋" w:cs="仿宋"/>
          <w:color w:val="auto"/>
          <w:sz w:val="28"/>
          <w:szCs w:val="28"/>
          <w:highlight w:val="none"/>
          <w:lang w:eastAsia="zh-CN"/>
        </w:rPr>
        <w:t>。</w:t>
      </w:r>
    </w:p>
    <w:p w14:paraId="7B9A1087">
      <w:pPr>
        <w:tabs>
          <w:tab w:val="left" w:pos="2127"/>
        </w:tabs>
        <w:spacing w:line="360" w:lineRule="exact"/>
        <w:ind w:firstLine="562"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14:paraId="49183E17">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14:paraId="006356BF">
      <w:pPr>
        <w:tabs>
          <w:tab w:val="left" w:pos="2127"/>
        </w:tabs>
        <w:spacing w:line="36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14:paraId="74BFAA4C">
      <w:pPr>
        <w:tabs>
          <w:tab w:val="left" w:pos="2127"/>
        </w:tabs>
        <w:spacing w:line="360" w:lineRule="exact"/>
        <w:ind w:firstLine="560" w:firstLineChars="200"/>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本次遴选公告、遴选结果公告将在《洛阳市交通运输局官网》、《洛阳市交通事业发展中心官网》公示。</w:t>
      </w:r>
    </w:p>
    <w:p w14:paraId="0E99945E">
      <w:pPr>
        <w:tabs>
          <w:tab w:val="left" w:pos="2127"/>
        </w:tabs>
        <w:spacing w:line="360" w:lineRule="exact"/>
        <w:ind w:firstLine="562"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14:paraId="28B31C5B">
      <w:pPr>
        <w:pStyle w:val="3"/>
        <w:spacing w:line="3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val="en-US" w:eastAsia="zh-CN"/>
        </w:rPr>
        <w:t>洛阳市交通运输局、洛阳市交通事业发展中心</w:t>
      </w:r>
    </w:p>
    <w:p w14:paraId="14A06210">
      <w:pPr>
        <w:pStyle w:val="3"/>
        <w:spacing w:line="3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联系人及电话：郑先生</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 xml:space="preserve"> 15138769165</w:t>
      </w:r>
      <w:r>
        <w:rPr>
          <w:rFonts w:hint="eastAsia" w:ascii="仿宋" w:hAnsi="仿宋" w:eastAsia="仿宋" w:cs="仿宋"/>
          <w:color w:val="auto"/>
          <w:sz w:val="28"/>
          <w:szCs w:val="28"/>
          <w:highlight w:val="none"/>
          <w:lang w:val="en-US" w:eastAsia="zh-CN"/>
        </w:rPr>
        <w:t xml:space="preserve"> </w:t>
      </w:r>
    </w:p>
    <w:p w14:paraId="1C314DC2">
      <w:pPr>
        <w:tabs>
          <w:tab w:val="left" w:pos="2127"/>
        </w:tabs>
        <w:spacing w:line="360" w:lineRule="exact"/>
        <w:ind w:firstLine="560" w:firstLineChars="200"/>
        <w:jc w:val="right"/>
        <w:rPr>
          <w:rFonts w:ascii="仿宋" w:hAnsi="仿宋" w:eastAsia="仿宋" w:cs="仿宋"/>
          <w:color w:val="auto"/>
          <w:sz w:val="28"/>
          <w:szCs w:val="28"/>
          <w:highlight w:val="none"/>
        </w:rPr>
      </w:pPr>
    </w:p>
    <w:p w14:paraId="0235B09D">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14:paraId="10B149CA">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14:paraId="1A5688C6">
      <w:pPr>
        <w:tabs>
          <w:tab w:val="left" w:pos="2127"/>
        </w:tabs>
        <w:spacing w:line="360" w:lineRule="exact"/>
        <w:ind w:firstLine="5320" w:firstLineChars="19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 xml:space="preserve"> </w:t>
      </w:r>
    </w:p>
    <w:p w14:paraId="4E3ED24D">
      <w:pPr>
        <w:tabs>
          <w:tab w:val="left" w:pos="2127"/>
        </w:tabs>
        <w:spacing w:line="360" w:lineRule="exact"/>
        <w:ind w:firstLine="560" w:firstLineChars="200"/>
        <w:jc w:val="right"/>
        <w:rPr>
          <w:rFonts w:ascii="仿宋" w:hAnsi="仿宋" w:eastAsia="仿宋" w:cs="仿宋"/>
          <w:color w:val="auto"/>
          <w:sz w:val="28"/>
          <w:szCs w:val="28"/>
          <w:highlight w:val="none"/>
        </w:rPr>
      </w:pPr>
    </w:p>
    <w:p w14:paraId="50A9014B">
      <w:pPr>
        <w:tabs>
          <w:tab w:val="left" w:pos="2127"/>
        </w:tabs>
        <w:spacing w:line="360" w:lineRule="exact"/>
        <w:ind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日</w:t>
      </w:r>
    </w:p>
    <w:bookmarkEnd w:id="0"/>
    <w:p w14:paraId="3CE5535E">
      <w:pPr>
        <w:rPr>
          <w:rFonts w:ascii="仿宋" w:hAnsi="仿宋" w:eastAsia="仿宋" w:cs="仿宋"/>
          <w:b/>
          <w:bCs/>
          <w:color w:val="auto"/>
          <w:sz w:val="32"/>
          <w:szCs w:val="32"/>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F9C6D">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2BB12">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Mzk0MGRlMTEyZGE1ZjU3NDQzOTlmMzMyN2EwZTE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EF3AA4"/>
    <w:rsid w:val="00FA5E63"/>
    <w:rsid w:val="01536131"/>
    <w:rsid w:val="01B50BA1"/>
    <w:rsid w:val="01C10B8E"/>
    <w:rsid w:val="02080516"/>
    <w:rsid w:val="023A109F"/>
    <w:rsid w:val="02870357"/>
    <w:rsid w:val="030656FC"/>
    <w:rsid w:val="03084CFA"/>
    <w:rsid w:val="03C3515A"/>
    <w:rsid w:val="04442C1F"/>
    <w:rsid w:val="04BB33AF"/>
    <w:rsid w:val="05216A3E"/>
    <w:rsid w:val="06625C55"/>
    <w:rsid w:val="06ED1227"/>
    <w:rsid w:val="081303C8"/>
    <w:rsid w:val="09141C71"/>
    <w:rsid w:val="0943612C"/>
    <w:rsid w:val="0B275F39"/>
    <w:rsid w:val="0CE42333"/>
    <w:rsid w:val="0E813BB2"/>
    <w:rsid w:val="0F1F0848"/>
    <w:rsid w:val="0FA55201"/>
    <w:rsid w:val="10C24C05"/>
    <w:rsid w:val="110E14CB"/>
    <w:rsid w:val="11AE237B"/>
    <w:rsid w:val="120720BC"/>
    <w:rsid w:val="12103DC7"/>
    <w:rsid w:val="124A6FB7"/>
    <w:rsid w:val="129A4859"/>
    <w:rsid w:val="13404ED0"/>
    <w:rsid w:val="13A75E69"/>
    <w:rsid w:val="14D6319C"/>
    <w:rsid w:val="14E27063"/>
    <w:rsid w:val="14FA2835"/>
    <w:rsid w:val="169E0FFE"/>
    <w:rsid w:val="18843664"/>
    <w:rsid w:val="197E3D7C"/>
    <w:rsid w:val="1ADA2FC8"/>
    <w:rsid w:val="1B06750C"/>
    <w:rsid w:val="1B1D3FA1"/>
    <w:rsid w:val="1B2D30F7"/>
    <w:rsid w:val="1BA702CF"/>
    <w:rsid w:val="1D855C9C"/>
    <w:rsid w:val="1D997D78"/>
    <w:rsid w:val="1E6C3F37"/>
    <w:rsid w:val="2076132C"/>
    <w:rsid w:val="21917E66"/>
    <w:rsid w:val="223D6DA5"/>
    <w:rsid w:val="22A53C23"/>
    <w:rsid w:val="237D33B0"/>
    <w:rsid w:val="25A641D2"/>
    <w:rsid w:val="261B27C7"/>
    <w:rsid w:val="262156B2"/>
    <w:rsid w:val="2641214D"/>
    <w:rsid w:val="28685CCA"/>
    <w:rsid w:val="28A713B3"/>
    <w:rsid w:val="29855670"/>
    <w:rsid w:val="298E56A9"/>
    <w:rsid w:val="2BD309F5"/>
    <w:rsid w:val="2C0F591E"/>
    <w:rsid w:val="2C311ACE"/>
    <w:rsid w:val="2D3A5DE6"/>
    <w:rsid w:val="2DB256DE"/>
    <w:rsid w:val="2E36630F"/>
    <w:rsid w:val="2F2F5238"/>
    <w:rsid w:val="2FDB350C"/>
    <w:rsid w:val="30617F84"/>
    <w:rsid w:val="340071A3"/>
    <w:rsid w:val="34B77194"/>
    <w:rsid w:val="351534BB"/>
    <w:rsid w:val="35A818A1"/>
    <w:rsid w:val="35A91140"/>
    <w:rsid w:val="36371A07"/>
    <w:rsid w:val="37776D2F"/>
    <w:rsid w:val="383855D2"/>
    <w:rsid w:val="38B239DC"/>
    <w:rsid w:val="3C1A16F8"/>
    <w:rsid w:val="3C5F4C83"/>
    <w:rsid w:val="3D922638"/>
    <w:rsid w:val="3D9A384D"/>
    <w:rsid w:val="3EC6723B"/>
    <w:rsid w:val="40EB0E18"/>
    <w:rsid w:val="418A4550"/>
    <w:rsid w:val="41A12453"/>
    <w:rsid w:val="42191648"/>
    <w:rsid w:val="432973AD"/>
    <w:rsid w:val="43CC2A7B"/>
    <w:rsid w:val="44A1408B"/>
    <w:rsid w:val="46737CA9"/>
    <w:rsid w:val="46BF297D"/>
    <w:rsid w:val="47410794"/>
    <w:rsid w:val="47424039"/>
    <w:rsid w:val="47783DFD"/>
    <w:rsid w:val="47827D71"/>
    <w:rsid w:val="488F0DE5"/>
    <w:rsid w:val="48B50826"/>
    <w:rsid w:val="48D34A2F"/>
    <w:rsid w:val="497004D0"/>
    <w:rsid w:val="49C03205"/>
    <w:rsid w:val="4A000E96"/>
    <w:rsid w:val="4A4B20DA"/>
    <w:rsid w:val="4C897F8C"/>
    <w:rsid w:val="4ED043AE"/>
    <w:rsid w:val="53BC2C8F"/>
    <w:rsid w:val="54120B01"/>
    <w:rsid w:val="54FB77E7"/>
    <w:rsid w:val="564D7162"/>
    <w:rsid w:val="56A00B49"/>
    <w:rsid w:val="584537DE"/>
    <w:rsid w:val="588954DC"/>
    <w:rsid w:val="58AC777F"/>
    <w:rsid w:val="59E84FFF"/>
    <w:rsid w:val="5C171BF3"/>
    <w:rsid w:val="5E9E0AD0"/>
    <w:rsid w:val="5ED35331"/>
    <w:rsid w:val="614E6EF1"/>
    <w:rsid w:val="61A84853"/>
    <w:rsid w:val="63AB062A"/>
    <w:rsid w:val="6AC63F9C"/>
    <w:rsid w:val="6AEE47B9"/>
    <w:rsid w:val="6B762964"/>
    <w:rsid w:val="6B8535B2"/>
    <w:rsid w:val="6E4D155A"/>
    <w:rsid w:val="6EE669BA"/>
    <w:rsid w:val="6F566D17"/>
    <w:rsid w:val="70194B6E"/>
    <w:rsid w:val="70AC59E2"/>
    <w:rsid w:val="711C61B5"/>
    <w:rsid w:val="729A7079"/>
    <w:rsid w:val="72EC6569"/>
    <w:rsid w:val="7444411D"/>
    <w:rsid w:val="756A13EC"/>
    <w:rsid w:val="75882579"/>
    <w:rsid w:val="765B5EE0"/>
    <w:rsid w:val="77617003"/>
    <w:rsid w:val="77834B5C"/>
    <w:rsid w:val="77E93077"/>
    <w:rsid w:val="78C544EF"/>
    <w:rsid w:val="79766B8D"/>
    <w:rsid w:val="79E24222"/>
    <w:rsid w:val="7B477D39"/>
    <w:rsid w:val="7BD209F2"/>
    <w:rsid w:val="7C7672E2"/>
    <w:rsid w:val="7D195AC8"/>
    <w:rsid w:val="7DD3341F"/>
    <w:rsid w:val="7E3B788A"/>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2917</Words>
  <Characters>2990</Characters>
  <Lines>27</Lines>
  <Paragraphs>7</Paragraphs>
  <TotalTime>18</TotalTime>
  <ScaleCrop>false</ScaleCrop>
  <LinksUpToDate>false</LinksUpToDate>
  <CharactersWithSpaces>3232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NTKO</cp:lastModifiedBy>
  <cp:lastPrinted>2022-11-10T08:54:00Z</cp:lastPrinted>
  <dcterms:modified xsi:type="dcterms:W3CDTF">2025-04-11T08:28:30Z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878D9DEB0E5E40398E0530918042EDA0_13</vt:lpwstr>
  </property>
  <property fmtid="{D5CDD505-2E9C-101B-9397-08002B2CF9AE}" pid="4" name="KSOTemplateDocerSaveRecord">
    <vt:lpwstr>eyJoZGlkIjoiYmRiMmViNGVkOTM2NDYzZDk4YWE0YjBhNTAyZDMzNTkiLCJ1c2VySWQiOiI0MDU1NzUwOTIifQ==</vt:lpwstr>
  </property>
</Properties>
</file>