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outlineLvl w:val="0"/>
        <w:rPr>
          <w:rFonts w:hint="eastAsia" w:ascii="仿宋" w:hAnsi="仿宋" w:eastAsia="仿宋" w:cs="仿宋"/>
          <w:b/>
          <w:bCs/>
          <w:color w:val="000000"/>
          <w:spacing w:val="6"/>
          <w:kern w:val="0"/>
          <w:highlight w:val="none"/>
          <w:lang w:val="en-US" w:eastAsia="zh-CN"/>
        </w:rPr>
      </w:pPr>
      <w:bookmarkStart w:id="16" w:name="_GoBack"/>
      <w:r>
        <w:rPr>
          <w:rFonts w:hint="eastAsia" w:ascii="仿宋" w:hAnsi="仿宋" w:eastAsia="仿宋" w:cs="仿宋"/>
          <w:b/>
          <w:bCs/>
          <w:color w:val="000000"/>
          <w:spacing w:val="6"/>
          <w:kern w:val="0"/>
          <w:highlight w:val="none"/>
          <w:lang w:val="en-US" w:eastAsia="zh-CN"/>
        </w:rPr>
        <w:t>S314虞灵线洛宁崇阳至寻峪段改建工程竣（交）工</w:t>
      </w:r>
    </w:p>
    <w:p>
      <w:pPr>
        <w:spacing w:line="550" w:lineRule="exact"/>
        <w:jc w:val="center"/>
        <w:outlineLvl w:val="0"/>
        <w:rPr>
          <w:rFonts w:hint="default" w:ascii="仿宋" w:hAnsi="仿宋" w:eastAsia="仿宋" w:cs="仿宋"/>
          <w:b/>
          <w:bCs/>
          <w:color w:val="000000"/>
          <w:spacing w:val="6"/>
          <w:kern w:val="0"/>
          <w:highlight w:val="none"/>
          <w:lang w:val="en-US" w:eastAsia="zh-CN"/>
        </w:rPr>
      </w:pPr>
      <w:r>
        <w:rPr>
          <w:rFonts w:hint="eastAsia" w:ascii="仿宋" w:hAnsi="仿宋" w:eastAsia="仿宋" w:cs="仿宋"/>
          <w:b/>
          <w:bCs/>
          <w:color w:val="000000"/>
          <w:spacing w:val="6"/>
          <w:kern w:val="0"/>
          <w:highlight w:val="none"/>
          <w:lang w:val="en-US" w:eastAsia="zh-CN"/>
        </w:rPr>
        <w:t>质量检测项目</w:t>
      </w:r>
      <w:r>
        <w:rPr>
          <w:rFonts w:hint="eastAsia" w:ascii="仿宋" w:hAnsi="仿宋" w:eastAsia="仿宋" w:cs="仿宋"/>
          <w:b/>
          <w:bCs/>
          <w:color w:val="000000"/>
          <w:spacing w:val="6"/>
          <w:kern w:val="0"/>
          <w:highlight w:val="none"/>
          <w:lang w:eastAsia="zh-CN"/>
        </w:rPr>
        <w:t>竞争性磋商公告</w:t>
      </w:r>
    </w:p>
    <w:bookmarkEnd w:id="16"/>
    <w:p>
      <w:pPr>
        <w:pStyle w:val="4"/>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bidi w:val="0"/>
        <w:snapToGrid/>
        <w:spacing w:line="480" w:lineRule="exact"/>
        <w:textAlignment w:val="auto"/>
        <w:rPr>
          <w:rFonts w:hint="eastAsia" w:ascii="仿宋" w:hAnsi="仿宋" w:eastAsia="仿宋" w:cs="仿宋"/>
          <w:snapToGrid w:val="0"/>
          <w:color w:val="000000"/>
          <w:spacing w:val="6"/>
          <w:highlight w:val="none"/>
        </w:rPr>
      </w:pPr>
      <w:r>
        <w:rPr>
          <w:rFonts w:hint="eastAsia" w:ascii="仿宋" w:hAnsi="仿宋" w:eastAsia="仿宋" w:cs="仿宋"/>
          <w:snapToGrid w:val="0"/>
          <w:color w:val="000000"/>
          <w:spacing w:val="6"/>
          <w:highlight w:val="none"/>
        </w:rPr>
        <w:t>项目概况：</w:t>
      </w:r>
    </w:p>
    <w:p>
      <w:pPr>
        <w:pStyle w:val="4"/>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bidi w:val="0"/>
        <w:snapToGrid/>
        <w:spacing w:line="520" w:lineRule="exact"/>
        <w:ind w:firstLine="504" w:firstLineChars="200"/>
        <w:textAlignment w:val="auto"/>
        <w:rPr>
          <w:rFonts w:hint="eastAsia" w:ascii="仿宋" w:hAnsi="仿宋" w:eastAsia="仿宋" w:cs="仿宋"/>
          <w:snapToGrid w:val="0"/>
          <w:color w:val="000000"/>
          <w:spacing w:val="6"/>
          <w:highlight w:val="none"/>
        </w:rPr>
      </w:pPr>
      <w:r>
        <w:rPr>
          <w:rFonts w:hint="eastAsia" w:ascii="仿宋" w:hAnsi="仿宋" w:eastAsia="仿宋" w:cs="仿宋"/>
          <w:snapToGrid w:val="0"/>
          <w:color w:val="000000"/>
          <w:spacing w:val="6"/>
          <w:highlight w:val="none"/>
          <w:u w:val="single"/>
          <w:lang w:val="en-US" w:eastAsia="zh-CN"/>
        </w:rPr>
        <w:t>S314虞灵线洛宁崇阳至寻峪段改建工程竣（交）工质量检测项</w:t>
      </w:r>
      <w:r>
        <w:rPr>
          <w:rFonts w:hint="eastAsia" w:ascii="仿宋" w:hAnsi="仿宋" w:eastAsia="仿宋" w:cs="仿宋"/>
          <w:snapToGrid w:val="0"/>
          <w:color w:val="000000"/>
          <w:spacing w:val="6"/>
          <w:highlight w:val="none"/>
          <w:u w:val="single"/>
        </w:rPr>
        <w:t>目</w:t>
      </w:r>
      <w:r>
        <w:rPr>
          <w:rFonts w:hint="eastAsia" w:ascii="仿宋" w:hAnsi="仿宋" w:eastAsia="仿宋" w:cs="仿宋"/>
          <w:snapToGrid w:val="0"/>
          <w:color w:val="000000"/>
          <w:spacing w:val="6"/>
          <w:highlight w:val="none"/>
        </w:rPr>
        <w:t>的潜在供应商应在</w:t>
      </w:r>
      <w:r>
        <w:rPr>
          <w:rFonts w:hint="eastAsia" w:ascii="仿宋" w:hAnsi="仿宋" w:eastAsia="仿宋" w:cs="仿宋"/>
          <w:snapToGrid w:val="0"/>
          <w:color w:val="000000"/>
          <w:spacing w:val="6"/>
          <w:highlight w:val="none"/>
          <w:u w:val="single"/>
        </w:rPr>
        <w:t>河南陆虎企业管理咨询有限公司现场</w:t>
      </w:r>
      <w:r>
        <w:rPr>
          <w:rFonts w:hint="eastAsia" w:ascii="仿宋" w:hAnsi="仿宋" w:eastAsia="仿宋" w:cs="仿宋"/>
          <w:snapToGrid w:val="0"/>
          <w:color w:val="000000"/>
          <w:spacing w:val="6"/>
          <w:highlight w:val="none"/>
        </w:rPr>
        <w:t>获取采购文件，并于202</w:t>
      </w:r>
      <w:r>
        <w:rPr>
          <w:rFonts w:hint="eastAsia" w:ascii="仿宋" w:hAnsi="仿宋" w:eastAsia="仿宋" w:cs="仿宋"/>
          <w:snapToGrid w:val="0"/>
          <w:color w:val="000000"/>
          <w:spacing w:val="6"/>
          <w:highlight w:val="none"/>
          <w:lang w:val="en-US" w:eastAsia="zh-CN"/>
        </w:rPr>
        <w:t>4</w:t>
      </w:r>
      <w:r>
        <w:rPr>
          <w:rFonts w:hint="eastAsia" w:ascii="仿宋" w:hAnsi="仿宋" w:eastAsia="仿宋" w:cs="仿宋"/>
          <w:snapToGrid w:val="0"/>
          <w:color w:val="000000"/>
          <w:spacing w:val="6"/>
          <w:highlight w:val="none"/>
        </w:rPr>
        <w:t>年</w:t>
      </w:r>
      <w:r>
        <w:rPr>
          <w:rFonts w:hint="eastAsia" w:ascii="仿宋" w:hAnsi="仿宋" w:eastAsia="仿宋" w:cs="仿宋"/>
          <w:snapToGrid w:val="0"/>
          <w:color w:val="000000"/>
          <w:spacing w:val="6"/>
          <w:highlight w:val="none"/>
          <w:lang w:val="en-US" w:eastAsia="zh-CN"/>
        </w:rPr>
        <w:t>5</w:t>
      </w:r>
      <w:r>
        <w:rPr>
          <w:rFonts w:hint="eastAsia" w:ascii="仿宋" w:hAnsi="仿宋" w:eastAsia="仿宋" w:cs="仿宋"/>
          <w:snapToGrid w:val="0"/>
          <w:color w:val="000000"/>
          <w:spacing w:val="6"/>
          <w:highlight w:val="none"/>
        </w:rPr>
        <w:t>月</w:t>
      </w:r>
      <w:r>
        <w:rPr>
          <w:rFonts w:hint="eastAsia" w:ascii="仿宋" w:hAnsi="仿宋" w:eastAsia="仿宋" w:cs="仿宋"/>
          <w:snapToGrid w:val="0"/>
          <w:color w:val="000000"/>
          <w:spacing w:val="6"/>
          <w:highlight w:val="none"/>
          <w:lang w:val="en-US" w:eastAsia="zh-CN"/>
        </w:rPr>
        <w:t>11</w:t>
      </w:r>
      <w:r>
        <w:rPr>
          <w:rFonts w:hint="eastAsia" w:ascii="仿宋" w:hAnsi="仿宋" w:eastAsia="仿宋" w:cs="仿宋"/>
          <w:snapToGrid w:val="0"/>
          <w:color w:val="000000"/>
          <w:spacing w:val="6"/>
          <w:highlight w:val="none"/>
        </w:rPr>
        <w:t>日</w:t>
      </w:r>
      <w:r>
        <w:rPr>
          <w:rFonts w:hint="eastAsia" w:ascii="仿宋" w:hAnsi="仿宋" w:eastAsia="仿宋" w:cs="仿宋"/>
          <w:snapToGrid w:val="0"/>
          <w:color w:val="000000"/>
          <w:spacing w:val="6"/>
          <w:highlight w:val="none"/>
          <w:lang w:eastAsia="zh-CN"/>
        </w:rPr>
        <w:t>上</w:t>
      </w:r>
      <w:r>
        <w:rPr>
          <w:rFonts w:hint="eastAsia" w:ascii="仿宋" w:hAnsi="仿宋" w:eastAsia="仿宋" w:cs="仿宋"/>
          <w:snapToGrid w:val="0"/>
          <w:color w:val="000000"/>
          <w:spacing w:val="6"/>
          <w:highlight w:val="none"/>
        </w:rPr>
        <w:t>午</w:t>
      </w:r>
      <w:r>
        <w:rPr>
          <w:rFonts w:hint="eastAsia" w:ascii="仿宋" w:hAnsi="仿宋" w:eastAsia="仿宋" w:cs="仿宋"/>
          <w:snapToGrid w:val="0"/>
          <w:color w:val="000000"/>
          <w:spacing w:val="6"/>
          <w:highlight w:val="none"/>
          <w:lang w:val="en-US" w:eastAsia="zh-CN"/>
        </w:rPr>
        <w:t>9</w:t>
      </w:r>
      <w:r>
        <w:rPr>
          <w:rFonts w:hint="eastAsia" w:ascii="仿宋" w:hAnsi="仿宋" w:eastAsia="仿宋" w:cs="仿宋"/>
          <w:snapToGrid w:val="0"/>
          <w:color w:val="000000"/>
          <w:spacing w:val="6"/>
          <w:highlight w:val="none"/>
        </w:rPr>
        <w:t>时30分（北京时间）前递交响应文件。</w:t>
      </w:r>
    </w:p>
    <w:p>
      <w:pPr>
        <w:keepNext w:val="0"/>
        <w:keepLines w:val="0"/>
        <w:pageBreakBefore w:val="0"/>
        <w:widowControl w:val="0"/>
        <w:kinsoku/>
        <w:overflowPunct/>
        <w:bidi w:val="0"/>
        <w:snapToGrid/>
        <w:spacing w:line="520" w:lineRule="exact"/>
        <w:textAlignment w:val="auto"/>
        <w:rPr>
          <w:rFonts w:hint="eastAsia" w:ascii="仿宋" w:hAnsi="仿宋" w:eastAsia="仿宋" w:cs="仿宋"/>
          <w:b/>
          <w:snapToGrid w:val="0"/>
          <w:color w:val="000000"/>
          <w:spacing w:val="6"/>
          <w:kern w:val="0"/>
          <w:sz w:val="24"/>
          <w:szCs w:val="24"/>
          <w:highlight w:val="none"/>
        </w:rPr>
      </w:pPr>
      <w:bookmarkStart w:id="0" w:name="_Toc35600908"/>
      <w:bookmarkStart w:id="1" w:name="_Toc35600485"/>
      <w:bookmarkStart w:id="2" w:name="_Toc7832"/>
      <w:bookmarkStart w:id="3" w:name="_Toc5220"/>
      <w:bookmarkStart w:id="4" w:name="_Toc2523"/>
      <w:bookmarkStart w:id="5" w:name="_Toc24396"/>
      <w:bookmarkStart w:id="6" w:name="_Toc18174"/>
      <w:bookmarkStart w:id="7" w:name="_Toc10072"/>
      <w:bookmarkStart w:id="8" w:name="_Toc15744"/>
      <w:bookmarkStart w:id="9" w:name="_Toc19723"/>
      <w:bookmarkStart w:id="10" w:name="_Toc19126"/>
      <w:bookmarkStart w:id="11" w:name="_Toc24253"/>
      <w:bookmarkStart w:id="12" w:name="_Toc8059"/>
      <w:r>
        <w:rPr>
          <w:rFonts w:hint="eastAsia" w:ascii="仿宋" w:hAnsi="仿宋" w:eastAsia="仿宋" w:cs="仿宋"/>
          <w:b/>
          <w:snapToGrid w:val="0"/>
          <w:color w:val="000000"/>
          <w:spacing w:val="6"/>
          <w:kern w:val="0"/>
          <w:sz w:val="24"/>
          <w:szCs w:val="24"/>
          <w:highlight w:val="none"/>
        </w:rPr>
        <w:t>一、项目</w:t>
      </w:r>
      <w:bookmarkEnd w:id="0"/>
      <w:bookmarkEnd w:id="1"/>
      <w:bookmarkStart w:id="13" w:name="_Toc505093131"/>
      <w:bookmarkStart w:id="14" w:name="_Toc35600486"/>
      <w:bookmarkStart w:id="15" w:name="_Toc35600909"/>
      <w:r>
        <w:rPr>
          <w:rFonts w:hint="eastAsia" w:ascii="仿宋" w:hAnsi="仿宋" w:eastAsia="仿宋" w:cs="仿宋"/>
          <w:b/>
          <w:snapToGrid w:val="0"/>
          <w:color w:val="000000"/>
          <w:spacing w:val="6"/>
          <w:kern w:val="0"/>
          <w:sz w:val="24"/>
          <w:szCs w:val="24"/>
          <w:highlight w:val="none"/>
        </w:rPr>
        <w:t>基本情况</w:t>
      </w:r>
      <w:bookmarkEnd w:id="2"/>
      <w:bookmarkEnd w:id="3"/>
      <w:bookmarkEnd w:id="4"/>
      <w:bookmarkEnd w:id="5"/>
      <w:bookmarkEnd w:id="6"/>
      <w:bookmarkEnd w:id="7"/>
      <w:bookmarkEnd w:id="8"/>
      <w:bookmarkEnd w:id="9"/>
      <w:bookmarkEnd w:id="10"/>
      <w:bookmarkEnd w:id="11"/>
      <w:bookmarkEnd w:id="12"/>
    </w:p>
    <w:bookmarkEnd w:id="13"/>
    <w:bookmarkEnd w:id="14"/>
    <w:bookmarkEnd w:id="15"/>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1、项目编号：LHZTB-2024006</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w:t>
      </w:r>
      <w:r>
        <w:rPr>
          <w:rFonts w:hint="eastAsia" w:ascii="仿宋" w:hAnsi="仿宋" w:eastAsia="仿宋" w:cs="仿宋"/>
          <w:snapToGrid w:val="0"/>
          <w:color w:val="000000"/>
          <w:kern w:val="0"/>
          <w:sz w:val="24"/>
          <w:highlight w:val="none"/>
        </w:rPr>
        <w:t>项目名</w:t>
      </w:r>
      <w:r>
        <w:rPr>
          <w:rFonts w:hint="eastAsia" w:ascii="仿宋" w:hAnsi="仿宋" w:eastAsia="仿宋" w:cs="仿宋"/>
          <w:snapToGrid w:val="0"/>
          <w:color w:val="000000"/>
          <w:kern w:val="0"/>
          <w:sz w:val="24"/>
          <w:szCs w:val="24"/>
          <w:highlight w:val="none"/>
        </w:rPr>
        <w:t>称：</w:t>
      </w:r>
      <w:r>
        <w:rPr>
          <w:rFonts w:hint="eastAsia" w:ascii="仿宋" w:hAnsi="仿宋" w:eastAsia="仿宋" w:cs="仿宋"/>
          <w:snapToGrid w:val="0"/>
          <w:color w:val="000000"/>
          <w:kern w:val="0"/>
          <w:sz w:val="24"/>
          <w:szCs w:val="24"/>
          <w:highlight w:val="none"/>
          <w:lang w:val="en-US" w:eastAsia="zh-CN"/>
        </w:rPr>
        <w:t>S314虞灵线洛宁崇阳至寻峪段改建工程竣（交）工质量检测项目</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3、采购方式：竞争性磋商</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4、预算金额：</w:t>
      </w:r>
      <w:r>
        <w:rPr>
          <w:rFonts w:hint="eastAsia" w:ascii="仿宋" w:hAnsi="仿宋" w:eastAsia="仿宋" w:cs="仿宋"/>
          <w:snapToGrid w:val="0"/>
          <w:color w:val="000000"/>
          <w:kern w:val="0"/>
          <w:sz w:val="24"/>
          <w:szCs w:val="24"/>
          <w:highlight w:val="none"/>
          <w:lang w:val="en-US" w:eastAsia="zh-CN"/>
        </w:rPr>
        <w:t>78016</w:t>
      </w:r>
      <w:r>
        <w:rPr>
          <w:rFonts w:hint="eastAsia" w:ascii="仿宋" w:hAnsi="仿宋" w:eastAsia="仿宋" w:cs="仿宋"/>
          <w:snapToGrid w:val="0"/>
          <w:color w:val="000000"/>
          <w:kern w:val="0"/>
          <w:sz w:val="24"/>
          <w:szCs w:val="24"/>
          <w:highlight w:val="none"/>
        </w:rPr>
        <w:t>.00元</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highlight w:val="none"/>
        </w:rPr>
      </w:pPr>
      <w:r>
        <w:rPr>
          <w:rFonts w:hint="eastAsia" w:ascii="仿宋" w:hAnsi="仿宋" w:eastAsia="仿宋" w:cs="仿宋"/>
          <w:snapToGrid w:val="0"/>
          <w:color w:val="000000"/>
          <w:kern w:val="0"/>
          <w:sz w:val="24"/>
          <w:szCs w:val="24"/>
          <w:highlight w:val="none"/>
        </w:rPr>
        <w:t>最高限价：</w:t>
      </w:r>
      <w:r>
        <w:rPr>
          <w:rFonts w:hint="eastAsia" w:ascii="仿宋" w:hAnsi="仿宋" w:eastAsia="仿宋" w:cs="仿宋"/>
          <w:snapToGrid w:val="0"/>
          <w:color w:val="000000"/>
          <w:kern w:val="0"/>
          <w:sz w:val="24"/>
          <w:szCs w:val="24"/>
          <w:highlight w:val="none"/>
          <w:lang w:val="en-US" w:eastAsia="zh-CN"/>
        </w:rPr>
        <w:t>78016</w:t>
      </w:r>
      <w:r>
        <w:rPr>
          <w:rFonts w:hint="eastAsia" w:ascii="仿宋" w:hAnsi="仿宋" w:eastAsia="仿宋" w:cs="仿宋"/>
          <w:snapToGrid w:val="0"/>
          <w:color w:val="000000"/>
          <w:kern w:val="0"/>
          <w:sz w:val="24"/>
          <w:szCs w:val="24"/>
          <w:highlight w:val="none"/>
        </w:rPr>
        <w:t>.00元</w:t>
      </w:r>
    </w:p>
    <w:tbl>
      <w:tblPr>
        <w:tblStyle w:val="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92"/>
        <w:gridCol w:w="3991"/>
        <w:gridCol w:w="1619"/>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4"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序号</w:t>
            </w:r>
          </w:p>
        </w:tc>
        <w:tc>
          <w:tcPr>
            <w:tcW w:w="792"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包号</w:t>
            </w:r>
          </w:p>
        </w:tc>
        <w:tc>
          <w:tcPr>
            <w:tcW w:w="3991"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包名称</w:t>
            </w:r>
          </w:p>
        </w:tc>
        <w:tc>
          <w:tcPr>
            <w:tcW w:w="1619"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包预算（元）</w:t>
            </w:r>
          </w:p>
        </w:tc>
        <w:tc>
          <w:tcPr>
            <w:tcW w:w="2056"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4"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w:t>
            </w:r>
          </w:p>
        </w:tc>
        <w:tc>
          <w:tcPr>
            <w:tcW w:w="792"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w:t>
            </w:r>
          </w:p>
        </w:tc>
        <w:tc>
          <w:tcPr>
            <w:tcW w:w="3991"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S314虞灵线洛宁崇阳至寻峪段改建工程竣（交）工质量检测项</w:t>
            </w:r>
            <w:r>
              <w:rPr>
                <w:rFonts w:hint="eastAsia" w:ascii="仿宋" w:hAnsi="仿宋" w:eastAsia="仿宋" w:cs="仿宋"/>
                <w:snapToGrid w:val="0"/>
                <w:color w:val="000000"/>
                <w:kern w:val="0"/>
                <w:sz w:val="24"/>
                <w:szCs w:val="24"/>
                <w:highlight w:val="none"/>
              </w:rPr>
              <w:t>目</w:t>
            </w:r>
          </w:p>
        </w:tc>
        <w:tc>
          <w:tcPr>
            <w:tcW w:w="1619"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78016</w:t>
            </w:r>
            <w:r>
              <w:rPr>
                <w:rFonts w:hint="eastAsia" w:ascii="仿宋" w:hAnsi="仿宋" w:eastAsia="仿宋" w:cs="仿宋"/>
                <w:snapToGrid w:val="0"/>
                <w:color w:val="000000"/>
                <w:kern w:val="0"/>
                <w:sz w:val="24"/>
                <w:szCs w:val="24"/>
                <w:highlight w:val="none"/>
              </w:rPr>
              <w:t>.00</w:t>
            </w:r>
          </w:p>
        </w:tc>
        <w:tc>
          <w:tcPr>
            <w:tcW w:w="2056" w:type="dxa"/>
            <w:noWrap w:val="0"/>
            <w:vAlign w:val="center"/>
          </w:tcPr>
          <w:p>
            <w:pPr>
              <w:keepNext w:val="0"/>
              <w:keepLines w:val="0"/>
              <w:pageBreakBefore w:val="0"/>
              <w:widowControl w:val="0"/>
              <w:kinsoku/>
              <w:overflowPunct/>
              <w:bidi w:val="0"/>
              <w:snapToGrid/>
              <w:spacing w:line="520" w:lineRule="exact"/>
              <w:jc w:val="center"/>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78016</w:t>
            </w:r>
            <w:r>
              <w:rPr>
                <w:rFonts w:hint="eastAsia" w:ascii="仿宋" w:hAnsi="仿宋" w:eastAsia="仿宋" w:cs="仿宋"/>
                <w:snapToGrid w:val="0"/>
                <w:color w:val="000000"/>
                <w:kern w:val="0"/>
                <w:sz w:val="24"/>
                <w:szCs w:val="24"/>
                <w:highlight w:val="none"/>
              </w:rPr>
              <w:t>.00</w:t>
            </w:r>
          </w:p>
        </w:tc>
      </w:tr>
    </w:tbl>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5、采购需求：（包括但不限于标的的名称、数量、简要技术需求或服务要求等）</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5.1采购范围：</w:t>
      </w:r>
      <w:r>
        <w:rPr>
          <w:rFonts w:hint="eastAsia" w:ascii="仿宋" w:hAnsi="仿宋" w:eastAsia="仿宋" w:cs="仿宋"/>
          <w:snapToGrid w:val="0"/>
          <w:color w:val="000000"/>
          <w:kern w:val="0"/>
          <w:sz w:val="24"/>
          <w:szCs w:val="24"/>
          <w:highlight w:val="none"/>
          <w:lang w:eastAsia="zh-CN"/>
        </w:rPr>
        <w:t>本项目为</w:t>
      </w:r>
      <w:r>
        <w:rPr>
          <w:rFonts w:hint="eastAsia" w:ascii="仿宋" w:hAnsi="仿宋" w:eastAsia="仿宋" w:cs="仿宋"/>
          <w:snapToGrid w:val="0"/>
          <w:color w:val="000000"/>
          <w:kern w:val="0"/>
          <w:sz w:val="24"/>
          <w:szCs w:val="24"/>
          <w:highlight w:val="none"/>
          <w:lang w:val="en-US" w:eastAsia="zh-CN"/>
        </w:rPr>
        <w:t>S314虞灵线洛宁崇阳至寻峪段改建工程竣（交）工质量检测</w:t>
      </w:r>
      <w:r>
        <w:rPr>
          <w:rFonts w:hint="eastAsia" w:ascii="仿宋" w:hAnsi="仿宋" w:eastAsia="仿宋" w:cs="仿宋"/>
          <w:snapToGrid w:val="0"/>
          <w:color w:val="000000"/>
          <w:kern w:val="0"/>
          <w:sz w:val="24"/>
          <w:szCs w:val="24"/>
          <w:highlight w:val="none"/>
        </w:rPr>
        <w:t>(具体详见竞争性磋商文件）；</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snapToGrid w:val="0"/>
          <w:color w:val="000000"/>
          <w:kern w:val="0"/>
          <w:sz w:val="24"/>
          <w:szCs w:val="24"/>
          <w:highlight w:val="none"/>
        </w:rPr>
        <w:t>5.2项目地点：洛阳市境内</w:t>
      </w:r>
      <w:r>
        <w:rPr>
          <w:rFonts w:hint="eastAsia" w:ascii="仿宋" w:hAnsi="仿宋" w:eastAsia="仿宋" w:cs="仿宋"/>
          <w:color w:val="000000"/>
          <w:kern w:val="0"/>
          <w:sz w:val="24"/>
          <w:szCs w:val="24"/>
          <w:highlight w:val="none"/>
        </w:rPr>
        <w:t>；</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5.3质量要求：符合国家现行相关技术标准、行业技术要求及地方相关规范；</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5.4标段划分：本项目共划分为一个标段。</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6、合同履行期限：自合同签订之日起至服务工作内容完成；</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7、本项目是否接受联合体投标：否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8、是否接受进口产品：否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9、是否专门面向中小企业：是</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二、供应商资格要求</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1、满足《中华人民共和国政府采购法》第二十二条规定；</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2、落实政府采购政策满足的资格要求：</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本项目落实专门面向中小微企业（监狱企业、残疾人福利性企业视同小微企业）；执行节约能源、保护环境、扶持不发达地区和少数民族地区、节能环保产品优先采购等政府采购政策。</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3</w:t>
      </w:r>
      <w:r>
        <w:rPr>
          <w:rFonts w:hint="eastAsia" w:ascii="仿宋" w:hAnsi="仿宋" w:eastAsia="仿宋" w:cs="仿宋"/>
          <w:snapToGrid w:val="0"/>
          <w:color w:val="000000"/>
          <w:kern w:val="0"/>
          <w:sz w:val="24"/>
          <w:szCs w:val="24"/>
          <w:highlight w:val="none"/>
        </w:rPr>
        <w:t>、本项目的特定资格要求：</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3</w:t>
      </w:r>
      <w:r>
        <w:rPr>
          <w:rFonts w:hint="eastAsia" w:ascii="仿宋" w:hAnsi="仿宋" w:eastAsia="仿宋" w:cs="仿宋"/>
          <w:snapToGrid w:val="0"/>
          <w:color w:val="000000"/>
          <w:kern w:val="0"/>
          <w:sz w:val="24"/>
          <w:szCs w:val="24"/>
          <w:highlight w:val="none"/>
        </w:rPr>
        <w:t>.1供应商应具有独立承担民事责任的能力，具有有效的营业执照；</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3</w:t>
      </w:r>
      <w:r>
        <w:rPr>
          <w:rFonts w:hint="eastAsia" w:ascii="仿宋" w:hAnsi="仿宋" w:eastAsia="仿宋" w:cs="仿宋"/>
          <w:snapToGrid w:val="0"/>
          <w:color w:val="000000"/>
          <w:kern w:val="0"/>
          <w:sz w:val="24"/>
          <w:szCs w:val="24"/>
          <w:highlight w:val="none"/>
        </w:rPr>
        <w:t>.2供应商须具有交通部门颁发的公路工程试验检测综合</w:t>
      </w:r>
      <w:r>
        <w:rPr>
          <w:rFonts w:hint="eastAsia" w:ascii="仿宋" w:hAnsi="仿宋" w:eastAsia="仿宋" w:cs="仿宋"/>
          <w:snapToGrid w:val="0"/>
          <w:color w:val="000000"/>
          <w:kern w:val="0"/>
          <w:sz w:val="24"/>
          <w:szCs w:val="24"/>
          <w:highlight w:val="none"/>
          <w:lang w:eastAsia="zh-CN"/>
        </w:rPr>
        <w:t>乙</w:t>
      </w:r>
      <w:r>
        <w:rPr>
          <w:rFonts w:hint="eastAsia" w:ascii="仿宋" w:hAnsi="仿宋" w:eastAsia="仿宋" w:cs="仿宋"/>
          <w:snapToGrid w:val="0"/>
          <w:color w:val="000000"/>
          <w:kern w:val="0"/>
          <w:sz w:val="24"/>
          <w:szCs w:val="24"/>
          <w:highlight w:val="none"/>
        </w:rPr>
        <w:t>级</w:t>
      </w:r>
      <w:r>
        <w:rPr>
          <w:rFonts w:hint="eastAsia" w:ascii="仿宋" w:hAnsi="仿宋" w:eastAsia="仿宋" w:cs="仿宋"/>
          <w:snapToGrid w:val="0"/>
          <w:color w:val="000000"/>
          <w:kern w:val="0"/>
          <w:sz w:val="24"/>
          <w:szCs w:val="24"/>
          <w:highlight w:val="none"/>
          <w:lang w:eastAsia="zh-CN"/>
        </w:rPr>
        <w:t>及以上</w:t>
      </w:r>
      <w:r>
        <w:rPr>
          <w:rFonts w:hint="eastAsia" w:ascii="仿宋" w:hAnsi="仿宋" w:eastAsia="仿宋" w:cs="仿宋"/>
          <w:snapToGrid w:val="0"/>
          <w:color w:val="000000"/>
          <w:kern w:val="0"/>
          <w:sz w:val="24"/>
          <w:szCs w:val="24"/>
          <w:highlight w:val="none"/>
        </w:rPr>
        <w:t>资质证书及省级及以上质量技术监督部门颁发的CMA计量认证证书；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3</w:t>
      </w:r>
      <w:r>
        <w:rPr>
          <w:rFonts w:hint="eastAsia" w:ascii="仿宋" w:hAnsi="仿宋" w:eastAsia="仿宋" w:cs="仿宋"/>
          <w:snapToGrid w:val="0"/>
          <w:color w:val="000000"/>
          <w:kern w:val="0"/>
          <w:sz w:val="24"/>
          <w:szCs w:val="24"/>
          <w:highlight w:val="none"/>
        </w:rPr>
        <w:t>.3供应商拟派检测负责人应具备交通部门颁发的试验检测工程师资格，其他检测人员应具备交通部门颁发的检测工程师或检测助理工程师或检测员资格（需涵盖公路（道路）和交通工程专业）；</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color w:val="000000"/>
          <w:highlight w:val="none"/>
        </w:rPr>
      </w:pPr>
      <w:r>
        <w:rPr>
          <w:rFonts w:hint="eastAsia" w:ascii="仿宋" w:hAnsi="仿宋" w:eastAsia="仿宋" w:cs="仿宋"/>
          <w:snapToGrid w:val="0"/>
          <w:color w:val="000000"/>
          <w:kern w:val="0"/>
          <w:sz w:val="24"/>
          <w:szCs w:val="24"/>
          <w:highlight w:val="none"/>
          <w:lang w:val="en-US" w:eastAsia="zh-CN"/>
        </w:rPr>
        <w:t>3</w:t>
      </w:r>
      <w:r>
        <w:rPr>
          <w:rFonts w:hint="eastAsia" w:ascii="仿宋" w:hAnsi="仿宋" w:eastAsia="仿宋" w:cs="仿宋"/>
          <w:snapToGrid w:val="0"/>
          <w:color w:val="000000"/>
          <w:kern w:val="0"/>
          <w:sz w:val="24"/>
          <w:szCs w:val="24"/>
          <w:highlight w:val="none"/>
        </w:rPr>
        <w:t>.4根据《洛阳市财政局关于推行政府采购信用承诺制的通知》（洛财购【2021】11号）文件，供应商须提供“洛阳市政府采购供应商信用承诺函”（格式详见招标文件中投标文件格式），采购人有权在签订合同前要求成交供应商提供相关证明材料以核实成交供应商承诺事项的真实性；</w:t>
      </w:r>
    </w:p>
    <w:p>
      <w:pPr>
        <w:keepNext w:val="0"/>
        <w:keepLines w:val="0"/>
        <w:pageBreakBefore w:val="0"/>
        <w:widowControl w:val="0"/>
        <w:kinsoku/>
        <w:wordWrap w:val="0"/>
        <w:overflowPunct/>
        <w:topLinePunct/>
        <w:autoSpaceDE/>
        <w:autoSpaceDN/>
        <w:bidi w:val="0"/>
        <w:adjustRightInd/>
        <w:snapToGrid/>
        <w:spacing w:line="520" w:lineRule="exact"/>
        <w:ind w:firstLine="480" w:firstLineChars="200"/>
        <w:textAlignment w:val="auto"/>
        <w:rPr>
          <w:rFonts w:hint="default" w:ascii="仿宋" w:hAnsi="仿宋" w:eastAsia="仿宋" w:cs="仿宋"/>
          <w:snapToGrid w:val="0"/>
          <w:color w:val="000000"/>
          <w:kern w:val="0"/>
          <w:sz w:val="24"/>
          <w:szCs w:val="24"/>
          <w:highlight w:val="none"/>
          <w:lang w:val="en-US" w:eastAsia="zh-CN"/>
        </w:rPr>
      </w:pPr>
      <w:r>
        <w:rPr>
          <w:rFonts w:hint="eastAsia" w:ascii="仿宋" w:hAnsi="仿宋" w:eastAsia="仿宋" w:cs="仿宋"/>
          <w:snapToGrid w:val="0"/>
          <w:color w:val="000000"/>
          <w:kern w:val="0"/>
          <w:sz w:val="24"/>
          <w:szCs w:val="24"/>
          <w:highlight w:val="none"/>
          <w:lang w:val="en-US" w:eastAsia="zh-CN"/>
        </w:rPr>
        <w:t>3</w:t>
      </w:r>
      <w:r>
        <w:rPr>
          <w:rFonts w:hint="eastAsia" w:ascii="仿宋" w:hAnsi="仿宋" w:eastAsia="仿宋" w:cs="仿宋"/>
          <w:snapToGrid w:val="0"/>
          <w:color w:val="000000"/>
          <w:kern w:val="0"/>
          <w:sz w:val="24"/>
          <w:szCs w:val="24"/>
          <w:highlight w:val="none"/>
        </w:rPr>
        <w:t>.</w:t>
      </w:r>
      <w:r>
        <w:rPr>
          <w:rFonts w:hint="eastAsia" w:ascii="仿宋" w:hAnsi="仿宋" w:eastAsia="仿宋" w:cs="仿宋"/>
          <w:snapToGrid w:val="0"/>
          <w:color w:val="000000"/>
          <w:kern w:val="0"/>
          <w:sz w:val="24"/>
          <w:szCs w:val="24"/>
          <w:highlight w:val="none"/>
          <w:lang w:val="en-US" w:eastAsia="zh-CN"/>
        </w:rPr>
        <w:t>5</w:t>
      </w:r>
      <w:r>
        <w:rPr>
          <w:rFonts w:hint="eastAsia" w:ascii="仿宋" w:hAnsi="仿宋" w:eastAsia="仿宋" w:cs="仿宋"/>
          <w:snapToGrid w:val="0"/>
          <w:color w:val="000000"/>
          <w:kern w:val="0"/>
          <w:sz w:val="24"/>
          <w:szCs w:val="24"/>
          <w:highlight w:val="none"/>
          <w:lang w:eastAsia="zh-CN"/>
        </w:rPr>
        <w:t>供应商须提供202</w:t>
      </w:r>
      <w:r>
        <w:rPr>
          <w:rFonts w:hint="eastAsia" w:ascii="仿宋" w:hAnsi="仿宋" w:eastAsia="仿宋" w:cs="仿宋"/>
          <w:snapToGrid w:val="0"/>
          <w:color w:val="000000"/>
          <w:kern w:val="0"/>
          <w:sz w:val="24"/>
          <w:szCs w:val="24"/>
          <w:highlight w:val="none"/>
          <w:lang w:val="en-US" w:eastAsia="zh-CN"/>
        </w:rPr>
        <w:t>1</w:t>
      </w:r>
      <w:r>
        <w:rPr>
          <w:rFonts w:hint="eastAsia" w:ascii="仿宋" w:hAnsi="仿宋" w:eastAsia="仿宋" w:cs="仿宋"/>
          <w:snapToGrid w:val="0"/>
          <w:color w:val="000000"/>
          <w:kern w:val="0"/>
          <w:sz w:val="24"/>
          <w:szCs w:val="24"/>
          <w:highlight w:val="none"/>
          <w:lang w:eastAsia="zh-CN"/>
        </w:rPr>
        <w:t>年度“公路水运工程质量检测管理信息系统”信用评价等级信息，202</w:t>
      </w:r>
      <w:r>
        <w:rPr>
          <w:rFonts w:hint="eastAsia" w:ascii="仿宋" w:hAnsi="仿宋" w:eastAsia="仿宋" w:cs="仿宋"/>
          <w:snapToGrid w:val="0"/>
          <w:color w:val="000000"/>
          <w:kern w:val="0"/>
          <w:sz w:val="24"/>
          <w:szCs w:val="24"/>
          <w:highlight w:val="none"/>
          <w:lang w:val="en-US" w:eastAsia="zh-CN"/>
        </w:rPr>
        <w:t>1</w:t>
      </w:r>
      <w:r>
        <w:rPr>
          <w:rFonts w:hint="eastAsia" w:ascii="仿宋" w:hAnsi="仿宋" w:eastAsia="仿宋" w:cs="仿宋"/>
          <w:snapToGrid w:val="0"/>
          <w:color w:val="000000"/>
          <w:kern w:val="0"/>
          <w:sz w:val="24"/>
          <w:szCs w:val="24"/>
          <w:highlight w:val="none"/>
          <w:lang w:eastAsia="zh-CN"/>
        </w:rPr>
        <w:t>年度信用评价在C级及以下等级的单位，不得参加本次磋商;</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3</w:t>
      </w:r>
      <w:r>
        <w:rPr>
          <w:rFonts w:hint="eastAsia" w:ascii="仿宋" w:hAnsi="仿宋" w:eastAsia="仿宋" w:cs="仿宋"/>
          <w:snapToGrid w:val="0"/>
          <w:color w:val="000000"/>
          <w:kern w:val="0"/>
          <w:sz w:val="24"/>
          <w:szCs w:val="24"/>
          <w:highlight w:val="none"/>
        </w:rPr>
        <w:t>.</w:t>
      </w:r>
      <w:r>
        <w:rPr>
          <w:rFonts w:hint="eastAsia" w:ascii="仿宋" w:hAnsi="仿宋" w:eastAsia="仿宋" w:cs="仿宋"/>
          <w:snapToGrid w:val="0"/>
          <w:color w:val="000000"/>
          <w:kern w:val="0"/>
          <w:sz w:val="24"/>
          <w:szCs w:val="24"/>
          <w:highlight w:val="none"/>
          <w:lang w:val="en-US" w:eastAsia="zh-CN"/>
        </w:rPr>
        <w:t>6</w:t>
      </w:r>
      <w:r>
        <w:rPr>
          <w:rFonts w:hint="eastAsia" w:ascii="仿宋" w:hAnsi="仿宋" w:eastAsia="仿宋" w:cs="仿宋"/>
          <w:snapToGrid w:val="0"/>
          <w:color w:val="000000"/>
          <w:kern w:val="0"/>
          <w:sz w:val="24"/>
          <w:szCs w:val="24"/>
          <w:highlight w:val="none"/>
        </w:rPr>
        <w:t>本项目不接受联合体，单位负责人为同一人或者存在控股、管理关系的不同单位，不得同时参与本项目；</w:t>
      </w:r>
    </w:p>
    <w:p>
      <w:pPr>
        <w:keepNext w:val="0"/>
        <w:keepLines w:val="0"/>
        <w:pageBreakBefore w:val="0"/>
        <w:widowControl w:val="0"/>
        <w:kinsoku/>
        <w:overflowPunct/>
        <w:bidi w:val="0"/>
        <w:snapToGrid/>
        <w:spacing w:line="520" w:lineRule="exact"/>
        <w:ind w:firstLine="480" w:firstLineChars="200"/>
        <w:textAlignment w:val="auto"/>
        <w:rPr>
          <w:rFonts w:hint="default" w:ascii="仿宋" w:hAnsi="仿宋" w:eastAsia="仿宋" w:cs="仿宋"/>
          <w:snapToGrid w:val="0"/>
          <w:color w:val="000000"/>
          <w:kern w:val="0"/>
          <w:sz w:val="24"/>
          <w:szCs w:val="24"/>
          <w:highlight w:val="none"/>
          <w:lang w:val="en-US" w:eastAsia="zh-CN"/>
        </w:rPr>
      </w:pPr>
      <w:r>
        <w:rPr>
          <w:rFonts w:hint="eastAsia" w:ascii="仿宋" w:hAnsi="仿宋" w:eastAsia="仿宋" w:cs="仿宋"/>
          <w:snapToGrid w:val="0"/>
          <w:color w:val="000000"/>
          <w:kern w:val="0"/>
          <w:sz w:val="24"/>
          <w:szCs w:val="24"/>
          <w:highlight w:val="none"/>
          <w:lang w:val="en-US" w:eastAsia="zh-CN"/>
        </w:rPr>
        <w:t>3.7本次竞争性磋商过程中，参与前期设计、施工、监理、试验、检测等相关单位不得参加本次磋商（提供承诺函，格式自拟）</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3.8</w:t>
      </w:r>
      <w:r>
        <w:rPr>
          <w:rFonts w:hint="eastAsia" w:ascii="仿宋" w:hAnsi="仿宋" w:eastAsia="仿宋" w:cs="仿宋"/>
          <w:snapToGrid w:val="0"/>
          <w:color w:val="000000"/>
          <w:kern w:val="0"/>
          <w:sz w:val="24"/>
          <w:szCs w:val="24"/>
          <w:highlight w:val="none"/>
        </w:rPr>
        <w:t>本项目实行资格后审，资格审查的具体要求详见竞争性磋商文件。资格审查不合格的供应商响应文件将按无效标处理。</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三、竞争性磋商文件的获取</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1、凡有意参加者，请于202</w:t>
      </w:r>
      <w:r>
        <w:rPr>
          <w:rFonts w:hint="eastAsia" w:ascii="仿宋" w:hAnsi="仿宋" w:eastAsia="仿宋" w:cs="仿宋"/>
          <w:snapToGrid w:val="0"/>
          <w:color w:val="000000"/>
          <w:kern w:val="0"/>
          <w:sz w:val="24"/>
          <w:szCs w:val="24"/>
          <w:highlight w:val="none"/>
          <w:lang w:val="en-US" w:eastAsia="zh-CN"/>
        </w:rPr>
        <w:t>4</w:t>
      </w:r>
      <w:r>
        <w:rPr>
          <w:rFonts w:hint="eastAsia" w:ascii="仿宋" w:hAnsi="仿宋" w:eastAsia="仿宋" w:cs="仿宋"/>
          <w:snapToGrid w:val="0"/>
          <w:color w:val="000000"/>
          <w:kern w:val="0"/>
          <w:sz w:val="24"/>
          <w:szCs w:val="24"/>
          <w:highlight w:val="none"/>
        </w:rPr>
        <w:t>年</w:t>
      </w:r>
      <w:r>
        <w:rPr>
          <w:rFonts w:hint="eastAsia" w:ascii="仿宋" w:hAnsi="仿宋" w:eastAsia="仿宋" w:cs="仿宋"/>
          <w:snapToGrid w:val="0"/>
          <w:color w:val="000000"/>
          <w:kern w:val="0"/>
          <w:sz w:val="24"/>
          <w:szCs w:val="24"/>
          <w:highlight w:val="none"/>
          <w:lang w:val="en-US" w:eastAsia="zh-CN"/>
        </w:rPr>
        <w:t>4</w:t>
      </w:r>
      <w:r>
        <w:rPr>
          <w:rFonts w:hint="eastAsia" w:ascii="仿宋" w:hAnsi="仿宋" w:eastAsia="仿宋" w:cs="仿宋"/>
          <w:snapToGrid w:val="0"/>
          <w:color w:val="000000"/>
          <w:kern w:val="0"/>
          <w:sz w:val="24"/>
          <w:szCs w:val="24"/>
          <w:highlight w:val="none"/>
        </w:rPr>
        <w:t>月</w:t>
      </w:r>
      <w:r>
        <w:rPr>
          <w:rFonts w:hint="eastAsia" w:ascii="仿宋" w:hAnsi="仿宋" w:eastAsia="仿宋" w:cs="仿宋"/>
          <w:snapToGrid w:val="0"/>
          <w:color w:val="000000"/>
          <w:kern w:val="0"/>
          <w:sz w:val="24"/>
          <w:szCs w:val="24"/>
          <w:highlight w:val="none"/>
          <w:lang w:val="en-US" w:eastAsia="zh-CN"/>
        </w:rPr>
        <w:t>30</w:t>
      </w:r>
      <w:r>
        <w:rPr>
          <w:rFonts w:hint="eastAsia" w:ascii="仿宋" w:hAnsi="仿宋" w:eastAsia="仿宋" w:cs="仿宋"/>
          <w:snapToGrid w:val="0"/>
          <w:color w:val="000000"/>
          <w:kern w:val="0"/>
          <w:sz w:val="24"/>
          <w:szCs w:val="24"/>
          <w:highlight w:val="none"/>
        </w:rPr>
        <w:t>日至202</w:t>
      </w:r>
      <w:r>
        <w:rPr>
          <w:rFonts w:hint="eastAsia" w:ascii="仿宋" w:hAnsi="仿宋" w:eastAsia="仿宋" w:cs="仿宋"/>
          <w:snapToGrid w:val="0"/>
          <w:color w:val="000000"/>
          <w:kern w:val="0"/>
          <w:sz w:val="24"/>
          <w:szCs w:val="24"/>
          <w:highlight w:val="none"/>
          <w:lang w:val="en-US" w:eastAsia="zh-CN"/>
        </w:rPr>
        <w:t>4</w:t>
      </w:r>
      <w:r>
        <w:rPr>
          <w:rFonts w:hint="eastAsia" w:ascii="仿宋" w:hAnsi="仿宋" w:eastAsia="仿宋" w:cs="仿宋"/>
          <w:snapToGrid w:val="0"/>
          <w:color w:val="000000"/>
          <w:kern w:val="0"/>
          <w:sz w:val="24"/>
          <w:szCs w:val="24"/>
          <w:highlight w:val="none"/>
        </w:rPr>
        <w:t>年</w:t>
      </w:r>
      <w:r>
        <w:rPr>
          <w:rFonts w:hint="eastAsia" w:ascii="仿宋" w:hAnsi="仿宋" w:eastAsia="仿宋" w:cs="仿宋"/>
          <w:snapToGrid w:val="0"/>
          <w:color w:val="000000"/>
          <w:kern w:val="0"/>
          <w:sz w:val="24"/>
          <w:szCs w:val="24"/>
          <w:highlight w:val="none"/>
          <w:lang w:val="en-US" w:eastAsia="zh-CN"/>
        </w:rPr>
        <w:t>5</w:t>
      </w:r>
      <w:r>
        <w:rPr>
          <w:rFonts w:hint="eastAsia" w:ascii="仿宋" w:hAnsi="仿宋" w:eastAsia="仿宋" w:cs="仿宋"/>
          <w:snapToGrid w:val="0"/>
          <w:color w:val="000000"/>
          <w:kern w:val="0"/>
          <w:sz w:val="24"/>
          <w:szCs w:val="24"/>
          <w:highlight w:val="none"/>
        </w:rPr>
        <w:t>月</w:t>
      </w:r>
      <w:r>
        <w:rPr>
          <w:rFonts w:hint="eastAsia" w:ascii="仿宋" w:hAnsi="仿宋" w:eastAsia="仿宋" w:cs="仿宋"/>
          <w:snapToGrid w:val="0"/>
          <w:color w:val="000000"/>
          <w:kern w:val="0"/>
          <w:sz w:val="24"/>
          <w:szCs w:val="24"/>
          <w:highlight w:val="none"/>
          <w:lang w:val="en-US" w:eastAsia="zh-CN"/>
        </w:rPr>
        <w:t>9</w:t>
      </w:r>
      <w:r>
        <w:rPr>
          <w:rFonts w:hint="eastAsia" w:ascii="仿宋" w:hAnsi="仿宋" w:eastAsia="仿宋" w:cs="仿宋"/>
          <w:snapToGrid w:val="0"/>
          <w:color w:val="000000"/>
          <w:kern w:val="0"/>
          <w:sz w:val="24"/>
          <w:szCs w:val="24"/>
          <w:highlight w:val="none"/>
        </w:rPr>
        <w:t>日（法定节假日除外）上午9:00时至12:00时，下午14:30时至17:30时，在</w:t>
      </w:r>
      <w:r>
        <w:rPr>
          <w:rFonts w:hint="eastAsia" w:ascii="仿宋" w:hAnsi="仿宋" w:eastAsia="仿宋" w:cs="仿宋"/>
          <w:snapToGrid w:val="0"/>
          <w:color w:val="000000"/>
          <w:kern w:val="0"/>
          <w:sz w:val="24"/>
          <w:highlight w:val="none"/>
        </w:rPr>
        <w:t>洛阳市涧西区南昌路2号牡丹城911室</w:t>
      </w:r>
      <w:r>
        <w:rPr>
          <w:rFonts w:hint="eastAsia" w:ascii="仿宋" w:hAnsi="仿宋" w:eastAsia="仿宋" w:cs="仿宋"/>
          <w:snapToGrid w:val="0"/>
          <w:color w:val="000000"/>
          <w:kern w:val="0"/>
          <w:sz w:val="24"/>
          <w:szCs w:val="24"/>
          <w:highlight w:val="none"/>
        </w:rPr>
        <w:t>领取竞争性磋商文件。</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2、领取文件时需携带的资料：</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1）法定代表人授权委托书和委托代理人身份证或法定代表人身份证明函及身份证；</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2）有效的营业执照副本；</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3）公路工程试验检测资质证书；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4）CMA计量认证证书；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5）拟派检测负责人</w:t>
      </w:r>
      <w:r>
        <w:rPr>
          <w:rFonts w:hint="eastAsia" w:ascii="仿宋" w:hAnsi="仿宋" w:eastAsia="仿宋" w:cs="仿宋"/>
          <w:snapToGrid w:val="0"/>
          <w:color w:val="000000"/>
          <w:kern w:val="0"/>
          <w:sz w:val="24"/>
          <w:szCs w:val="24"/>
          <w:highlight w:val="none"/>
          <w:lang w:eastAsia="zh-CN"/>
        </w:rPr>
        <w:t>及相关人员</w:t>
      </w:r>
      <w:r>
        <w:rPr>
          <w:rFonts w:hint="eastAsia" w:ascii="仿宋" w:hAnsi="仿宋" w:eastAsia="仿宋" w:cs="仿宋"/>
          <w:snapToGrid w:val="0"/>
          <w:color w:val="000000"/>
          <w:kern w:val="0"/>
          <w:sz w:val="24"/>
          <w:szCs w:val="24"/>
          <w:highlight w:val="none"/>
        </w:rPr>
        <w:t>资格证书；</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val="en-US" w:eastAsia="zh-CN"/>
        </w:rPr>
        <w:t>6）</w:t>
      </w:r>
      <w:r>
        <w:rPr>
          <w:rFonts w:hint="eastAsia" w:ascii="仿宋" w:hAnsi="仿宋" w:eastAsia="仿宋" w:cs="仿宋"/>
          <w:snapToGrid w:val="0"/>
          <w:color w:val="000000"/>
          <w:kern w:val="0"/>
          <w:sz w:val="24"/>
          <w:szCs w:val="24"/>
          <w:highlight w:val="none"/>
          <w:lang w:eastAsia="zh-CN"/>
        </w:rPr>
        <w:t>“公路水运工程质量检测管理信息系统”信用评价等级信息查询截图。</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7）非参与本项目前期设计、施工、监理、试验、检测等相关单位承诺函</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以上资料需提供加盖公章的复印件2套。</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3、竞争性磋商文件售价：100元/套，售后不退。</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四、响应文件的递交</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1、截止时间：202</w:t>
      </w:r>
      <w:r>
        <w:rPr>
          <w:rFonts w:hint="eastAsia" w:ascii="仿宋" w:hAnsi="仿宋" w:eastAsia="仿宋" w:cs="仿宋"/>
          <w:snapToGrid w:val="0"/>
          <w:color w:val="000000"/>
          <w:kern w:val="0"/>
          <w:sz w:val="24"/>
          <w:szCs w:val="24"/>
          <w:highlight w:val="none"/>
          <w:lang w:val="en-US" w:eastAsia="zh-CN"/>
        </w:rPr>
        <w:t>4</w:t>
      </w:r>
      <w:r>
        <w:rPr>
          <w:rFonts w:hint="eastAsia" w:ascii="仿宋" w:hAnsi="仿宋" w:eastAsia="仿宋" w:cs="仿宋"/>
          <w:snapToGrid w:val="0"/>
          <w:color w:val="000000"/>
          <w:kern w:val="0"/>
          <w:sz w:val="24"/>
          <w:szCs w:val="24"/>
          <w:highlight w:val="none"/>
        </w:rPr>
        <w:t>年</w:t>
      </w:r>
      <w:r>
        <w:rPr>
          <w:rFonts w:hint="eastAsia" w:ascii="仿宋" w:hAnsi="仿宋" w:eastAsia="仿宋" w:cs="仿宋"/>
          <w:snapToGrid w:val="0"/>
          <w:color w:val="000000"/>
          <w:kern w:val="0"/>
          <w:sz w:val="24"/>
          <w:szCs w:val="24"/>
          <w:highlight w:val="none"/>
          <w:lang w:val="en-US" w:eastAsia="zh-CN"/>
        </w:rPr>
        <w:t>5</w:t>
      </w:r>
      <w:r>
        <w:rPr>
          <w:rFonts w:hint="eastAsia" w:ascii="仿宋" w:hAnsi="仿宋" w:eastAsia="仿宋" w:cs="仿宋"/>
          <w:snapToGrid w:val="0"/>
          <w:color w:val="000000"/>
          <w:kern w:val="0"/>
          <w:sz w:val="24"/>
          <w:szCs w:val="24"/>
          <w:highlight w:val="none"/>
        </w:rPr>
        <w:t>月</w:t>
      </w:r>
      <w:r>
        <w:rPr>
          <w:rFonts w:hint="eastAsia" w:ascii="仿宋" w:hAnsi="仿宋" w:eastAsia="仿宋" w:cs="仿宋"/>
          <w:snapToGrid w:val="0"/>
          <w:color w:val="000000"/>
          <w:kern w:val="0"/>
          <w:sz w:val="24"/>
          <w:szCs w:val="24"/>
          <w:highlight w:val="none"/>
          <w:lang w:val="en-US" w:eastAsia="zh-CN"/>
        </w:rPr>
        <w:t>11</w:t>
      </w:r>
      <w:r>
        <w:rPr>
          <w:rFonts w:hint="eastAsia" w:ascii="仿宋" w:hAnsi="仿宋" w:eastAsia="仿宋" w:cs="仿宋"/>
          <w:snapToGrid w:val="0"/>
          <w:color w:val="000000"/>
          <w:kern w:val="0"/>
          <w:sz w:val="24"/>
          <w:szCs w:val="24"/>
          <w:highlight w:val="none"/>
        </w:rPr>
        <w:t>日</w:t>
      </w:r>
      <w:r>
        <w:rPr>
          <w:rFonts w:hint="eastAsia" w:ascii="仿宋" w:hAnsi="仿宋" w:eastAsia="仿宋" w:cs="仿宋"/>
          <w:snapToGrid w:val="0"/>
          <w:color w:val="000000"/>
          <w:kern w:val="0"/>
          <w:sz w:val="24"/>
          <w:szCs w:val="24"/>
          <w:highlight w:val="none"/>
          <w:lang w:eastAsia="zh-CN"/>
        </w:rPr>
        <w:t>上</w:t>
      </w:r>
      <w:r>
        <w:rPr>
          <w:rFonts w:hint="eastAsia" w:ascii="仿宋" w:hAnsi="仿宋" w:eastAsia="仿宋" w:cs="仿宋"/>
          <w:snapToGrid w:val="0"/>
          <w:color w:val="000000"/>
          <w:kern w:val="0"/>
          <w:sz w:val="24"/>
          <w:szCs w:val="24"/>
          <w:highlight w:val="none"/>
        </w:rPr>
        <w:t>午</w:t>
      </w:r>
      <w:r>
        <w:rPr>
          <w:rFonts w:hint="eastAsia" w:ascii="仿宋" w:hAnsi="仿宋" w:eastAsia="仿宋" w:cs="仿宋"/>
          <w:snapToGrid w:val="0"/>
          <w:color w:val="000000"/>
          <w:kern w:val="0"/>
          <w:sz w:val="24"/>
          <w:szCs w:val="24"/>
          <w:highlight w:val="none"/>
          <w:lang w:val="en-US" w:eastAsia="zh-CN"/>
        </w:rPr>
        <w:t>09</w:t>
      </w:r>
      <w:r>
        <w:rPr>
          <w:rFonts w:hint="eastAsia" w:ascii="仿宋" w:hAnsi="仿宋" w:eastAsia="仿宋" w:cs="仿宋"/>
          <w:snapToGrid w:val="0"/>
          <w:color w:val="000000"/>
          <w:kern w:val="0"/>
          <w:sz w:val="24"/>
          <w:szCs w:val="24"/>
          <w:highlight w:val="none"/>
        </w:rPr>
        <w:t>时30分 (北京时间)。</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2、地点：洛阳市涧西区南昌路2号牡丹城901会议室。</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五、开启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1、时间：202</w:t>
      </w:r>
      <w:r>
        <w:rPr>
          <w:rFonts w:hint="eastAsia" w:ascii="仿宋" w:hAnsi="仿宋" w:eastAsia="仿宋" w:cs="仿宋"/>
          <w:snapToGrid w:val="0"/>
          <w:color w:val="000000"/>
          <w:kern w:val="0"/>
          <w:sz w:val="24"/>
          <w:szCs w:val="24"/>
          <w:highlight w:val="none"/>
          <w:lang w:val="en-US" w:eastAsia="zh-CN"/>
        </w:rPr>
        <w:t>4</w:t>
      </w:r>
      <w:r>
        <w:rPr>
          <w:rFonts w:hint="eastAsia" w:ascii="仿宋" w:hAnsi="仿宋" w:eastAsia="仿宋" w:cs="仿宋"/>
          <w:snapToGrid w:val="0"/>
          <w:color w:val="000000"/>
          <w:kern w:val="0"/>
          <w:sz w:val="24"/>
          <w:szCs w:val="24"/>
          <w:highlight w:val="none"/>
        </w:rPr>
        <w:t>年</w:t>
      </w:r>
      <w:r>
        <w:rPr>
          <w:rFonts w:hint="eastAsia" w:ascii="仿宋" w:hAnsi="仿宋" w:eastAsia="仿宋" w:cs="仿宋"/>
          <w:snapToGrid w:val="0"/>
          <w:color w:val="000000"/>
          <w:kern w:val="0"/>
          <w:sz w:val="24"/>
          <w:szCs w:val="24"/>
          <w:highlight w:val="none"/>
          <w:lang w:val="en-US" w:eastAsia="zh-CN"/>
        </w:rPr>
        <w:t>5</w:t>
      </w:r>
      <w:r>
        <w:rPr>
          <w:rFonts w:hint="eastAsia" w:ascii="仿宋" w:hAnsi="仿宋" w:eastAsia="仿宋" w:cs="仿宋"/>
          <w:snapToGrid w:val="0"/>
          <w:color w:val="000000"/>
          <w:kern w:val="0"/>
          <w:sz w:val="24"/>
          <w:szCs w:val="24"/>
          <w:highlight w:val="none"/>
        </w:rPr>
        <w:t>月</w:t>
      </w:r>
      <w:r>
        <w:rPr>
          <w:rFonts w:hint="eastAsia" w:ascii="仿宋" w:hAnsi="仿宋" w:eastAsia="仿宋" w:cs="仿宋"/>
          <w:snapToGrid w:val="0"/>
          <w:color w:val="000000"/>
          <w:kern w:val="0"/>
          <w:sz w:val="24"/>
          <w:szCs w:val="24"/>
          <w:highlight w:val="none"/>
          <w:lang w:val="en-US" w:eastAsia="zh-CN"/>
        </w:rPr>
        <w:t>11</w:t>
      </w:r>
      <w:r>
        <w:rPr>
          <w:rFonts w:hint="eastAsia" w:ascii="仿宋" w:hAnsi="仿宋" w:eastAsia="仿宋" w:cs="仿宋"/>
          <w:snapToGrid w:val="0"/>
          <w:color w:val="000000"/>
          <w:kern w:val="0"/>
          <w:sz w:val="24"/>
          <w:szCs w:val="24"/>
          <w:highlight w:val="none"/>
        </w:rPr>
        <w:t>日</w:t>
      </w:r>
      <w:r>
        <w:rPr>
          <w:rFonts w:hint="eastAsia" w:ascii="仿宋" w:hAnsi="仿宋" w:eastAsia="仿宋" w:cs="仿宋"/>
          <w:snapToGrid w:val="0"/>
          <w:color w:val="000000"/>
          <w:kern w:val="0"/>
          <w:sz w:val="24"/>
          <w:szCs w:val="24"/>
          <w:highlight w:val="none"/>
          <w:lang w:eastAsia="zh-CN"/>
        </w:rPr>
        <w:t>上</w:t>
      </w:r>
      <w:r>
        <w:rPr>
          <w:rFonts w:hint="eastAsia" w:ascii="仿宋" w:hAnsi="仿宋" w:eastAsia="仿宋" w:cs="仿宋"/>
          <w:snapToGrid w:val="0"/>
          <w:color w:val="000000"/>
          <w:kern w:val="0"/>
          <w:sz w:val="24"/>
          <w:szCs w:val="24"/>
          <w:highlight w:val="none"/>
        </w:rPr>
        <w:t>午</w:t>
      </w:r>
      <w:r>
        <w:rPr>
          <w:rFonts w:hint="eastAsia" w:ascii="仿宋" w:hAnsi="仿宋" w:eastAsia="仿宋" w:cs="仿宋"/>
          <w:snapToGrid w:val="0"/>
          <w:color w:val="000000"/>
          <w:kern w:val="0"/>
          <w:sz w:val="24"/>
          <w:szCs w:val="24"/>
          <w:highlight w:val="none"/>
          <w:lang w:val="en-US" w:eastAsia="zh-CN"/>
        </w:rPr>
        <w:t>09</w:t>
      </w:r>
      <w:r>
        <w:rPr>
          <w:rFonts w:hint="eastAsia" w:ascii="仿宋" w:hAnsi="仿宋" w:eastAsia="仿宋" w:cs="仿宋"/>
          <w:snapToGrid w:val="0"/>
          <w:color w:val="000000"/>
          <w:kern w:val="0"/>
          <w:sz w:val="24"/>
          <w:szCs w:val="24"/>
          <w:highlight w:val="none"/>
        </w:rPr>
        <w:t>时30分 (北京时间)。</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2、地点：洛阳市涧西区南昌路2号牡丹城901会议室。</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六、公告期限</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本次磋商公告同时在《中国招标投标公共服务平台》、《河南省电子招标投标公共服务平台》和《洛阳市交通事业发展中心》上发布。公告期为自发布之日起5个工作日。</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七、其他补充事宜</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1、本次采购代理服务费由成交人支付。</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2、供应商在参与本项目采购活动期间应及时关注上述网站获取相关澄清或变更等信息（如果有）。</w:t>
      </w:r>
    </w:p>
    <w:p>
      <w:pPr>
        <w:keepNext w:val="0"/>
        <w:keepLines w:val="0"/>
        <w:pageBreakBefore w:val="0"/>
        <w:widowControl w:val="0"/>
        <w:kinsoku/>
        <w:overflowPunct/>
        <w:bidi w:val="0"/>
        <w:snapToGrid/>
        <w:spacing w:line="520" w:lineRule="exact"/>
        <w:ind w:firstLine="482" w:firstLineChars="200"/>
        <w:textAlignment w:val="auto"/>
        <w:rPr>
          <w:rFonts w:hint="eastAsia" w:ascii="仿宋" w:hAnsi="仿宋" w:eastAsia="仿宋" w:cs="仿宋"/>
          <w:b/>
          <w:bCs/>
          <w:snapToGrid w:val="0"/>
          <w:color w:val="000000"/>
          <w:kern w:val="0"/>
          <w:sz w:val="24"/>
          <w:szCs w:val="24"/>
          <w:highlight w:val="none"/>
        </w:rPr>
      </w:pPr>
      <w:r>
        <w:rPr>
          <w:rFonts w:hint="eastAsia" w:ascii="仿宋" w:hAnsi="仿宋" w:eastAsia="仿宋" w:cs="仿宋"/>
          <w:b/>
          <w:bCs/>
          <w:snapToGrid w:val="0"/>
          <w:color w:val="000000"/>
          <w:kern w:val="0"/>
          <w:sz w:val="24"/>
          <w:szCs w:val="24"/>
          <w:highlight w:val="none"/>
        </w:rPr>
        <w:t>八、联系方式</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1、采购人信息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采购人：洛阳市交通事业发展中心</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地址：洛阳市涧西区南昌路172号</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联系人：陈女士</w:t>
      </w:r>
    </w:p>
    <w:p>
      <w:pPr>
        <w:keepNext w:val="0"/>
        <w:keepLines w:val="0"/>
        <w:pageBreakBefore w:val="0"/>
        <w:widowControl w:val="0"/>
        <w:kinsoku/>
        <w:overflowPunct/>
        <w:bidi w:val="0"/>
        <w:snapToGrid/>
        <w:spacing w:line="520" w:lineRule="exact"/>
        <w:ind w:firstLine="480" w:firstLineChars="200"/>
        <w:textAlignment w:val="auto"/>
        <w:rPr>
          <w:rFonts w:hint="default" w:ascii="仿宋" w:hAnsi="仿宋" w:eastAsia="仿宋" w:cs="仿宋"/>
          <w:snapToGrid w:val="0"/>
          <w:color w:val="000000"/>
          <w:kern w:val="0"/>
          <w:sz w:val="24"/>
          <w:szCs w:val="24"/>
          <w:highlight w:val="none"/>
          <w:lang w:val="en-US" w:eastAsia="zh-CN"/>
        </w:rPr>
      </w:pPr>
      <w:r>
        <w:rPr>
          <w:rFonts w:hint="eastAsia" w:ascii="仿宋" w:hAnsi="仿宋" w:eastAsia="仿宋" w:cs="仿宋"/>
          <w:snapToGrid w:val="0"/>
          <w:color w:val="000000"/>
          <w:kern w:val="0"/>
          <w:sz w:val="24"/>
          <w:szCs w:val="24"/>
          <w:highlight w:val="none"/>
        </w:rPr>
        <w:t>电话：0379-</w:t>
      </w:r>
      <w:r>
        <w:rPr>
          <w:rFonts w:hint="eastAsia" w:ascii="仿宋" w:hAnsi="仿宋" w:eastAsia="仿宋" w:cs="仿宋"/>
          <w:snapToGrid w:val="0"/>
          <w:color w:val="000000"/>
          <w:kern w:val="0"/>
          <w:sz w:val="24"/>
          <w:szCs w:val="24"/>
          <w:highlight w:val="none"/>
          <w:lang w:val="en-US" w:eastAsia="zh-CN"/>
        </w:rPr>
        <w:t>69955885</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2、采购代理机构信息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采购代理机构：河南陆虎企业管理咨询有限公司</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地  址：洛阳市涧西区南昌路2号牡丹城9楼911室</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联系人：王先生</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电话：0379-64326558</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3、监管部门信息</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监管部门：洛阳市交通运输局</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监管部门联系人：洛阳市交通运输局建管科</w:t>
      </w:r>
    </w:p>
    <w:p>
      <w:pPr>
        <w:keepNext w:val="0"/>
        <w:keepLines w:val="0"/>
        <w:pageBreakBefore w:val="0"/>
        <w:widowControl w:val="0"/>
        <w:kinsoku/>
        <w:overflowPunct/>
        <w:bidi w:val="0"/>
        <w:snapToGrid/>
        <w:spacing w:line="520" w:lineRule="exact"/>
        <w:ind w:firstLine="480" w:firstLineChars="2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监管部门联系方式：0379-63218170</w:t>
      </w:r>
    </w:p>
    <w:p>
      <w:pPr>
        <w:rPr>
          <w:rFonts w:hint="eastAsia" w:ascii="仿宋" w:hAnsi="仿宋" w:eastAsia="仿宋" w:cs="仿宋"/>
          <w:snapToGrid w:val="0"/>
          <w:color w:val="000000"/>
          <w:kern w:val="0"/>
          <w:sz w:val="24"/>
          <w:szCs w:val="24"/>
          <w:highlight w:val="none"/>
        </w:rPr>
      </w:pPr>
    </w:p>
    <w:p>
      <w:pPr>
        <w:jc w:val="right"/>
      </w:pPr>
      <w:r>
        <w:rPr>
          <w:rFonts w:hint="eastAsia" w:ascii="仿宋" w:hAnsi="仿宋" w:eastAsia="仿宋" w:cs="仿宋"/>
          <w:snapToGrid w:val="0"/>
          <w:color w:val="000000"/>
          <w:kern w:val="0"/>
          <w:sz w:val="24"/>
          <w:szCs w:val="24"/>
          <w:highlight w:val="none"/>
        </w:rPr>
        <w:t>202</w:t>
      </w:r>
      <w:r>
        <w:rPr>
          <w:rFonts w:hint="eastAsia" w:ascii="仿宋" w:hAnsi="仿宋" w:eastAsia="仿宋" w:cs="仿宋"/>
          <w:snapToGrid w:val="0"/>
          <w:color w:val="000000"/>
          <w:kern w:val="0"/>
          <w:sz w:val="24"/>
          <w:szCs w:val="24"/>
          <w:highlight w:val="none"/>
          <w:lang w:val="en-US" w:eastAsia="zh-CN"/>
        </w:rPr>
        <w:t>4</w:t>
      </w:r>
      <w:r>
        <w:rPr>
          <w:rFonts w:hint="eastAsia" w:ascii="仿宋" w:hAnsi="仿宋" w:eastAsia="仿宋" w:cs="仿宋"/>
          <w:snapToGrid w:val="0"/>
          <w:color w:val="000000"/>
          <w:kern w:val="0"/>
          <w:sz w:val="24"/>
          <w:szCs w:val="24"/>
          <w:highlight w:val="none"/>
        </w:rPr>
        <w:t>年</w:t>
      </w:r>
      <w:r>
        <w:rPr>
          <w:rFonts w:hint="eastAsia" w:ascii="仿宋" w:hAnsi="仿宋" w:eastAsia="仿宋" w:cs="仿宋"/>
          <w:snapToGrid w:val="0"/>
          <w:color w:val="000000"/>
          <w:kern w:val="0"/>
          <w:sz w:val="24"/>
          <w:szCs w:val="24"/>
          <w:highlight w:val="none"/>
          <w:lang w:val="en-US" w:eastAsia="zh-CN"/>
        </w:rPr>
        <w:t>4</w:t>
      </w:r>
      <w:r>
        <w:rPr>
          <w:rFonts w:hint="eastAsia" w:ascii="仿宋" w:hAnsi="仿宋" w:eastAsia="仿宋" w:cs="仿宋"/>
          <w:snapToGrid w:val="0"/>
          <w:color w:val="000000"/>
          <w:kern w:val="0"/>
          <w:sz w:val="24"/>
          <w:szCs w:val="24"/>
          <w:highlight w:val="none"/>
        </w:rPr>
        <w:t>月</w:t>
      </w:r>
      <w:r>
        <w:rPr>
          <w:rFonts w:hint="eastAsia" w:ascii="仿宋" w:hAnsi="仿宋" w:eastAsia="仿宋" w:cs="仿宋"/>
          <w:snapToGrid w:val="0"/>
          <w:color w:val="000000"/>
          <w:kern w:val="0"/>
          <w:sz w:val="24"/>
          <w:szCs w:val="24"/>
          <w:highlight w:val="none"/>
          <w:lang w:val="en-US" w:eastAsia="zh-CN"/>
        </w:rPr>
        <w:t>29</w:t>
      </w:r>
      <w:r>
        <w:rPr>
          <w:rFonts w:hint="eastAsia" w:ascii="仿宋" w:hAnsi="仿宋" w:eastAsia="仿宋" w:cs="仿宋"/>
          <w:snapToGrid w:val="0"/>
          <w:color w:val="000000"/>
          <w:kern w:val="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TIyZDUyNjQ3ODI2ZGVmYWQ1NGZmOTBhZTc0NGEifQ=="/>
  </w:docVars>
  <w:rsids>
    <w:rsidRoot w:val="2F20466B"/>
    <w:rsid w:val="1EC7491A"/>
    <w:rsid w:val="2F20466B"/>
    <w:rsid w:val="5FB4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next w:val="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
    <w:name w:val="表格文字"/>
    <w:basedOn w:val="1"/>
    <w:next w:val="6"/>
    <w:autoRedefine/>
    <w:qFormat/>
    <w:uiPriority w:val="0"/>
    <w:pPr>
      <w:adjustRightInd w:val="0"/>
      <w:spacing w:line="420" w:lineRule="atLeast"/>
      <w:jc w:val="left"/>
      <w:textAlignment w:val="baseline"/>
    </w:pPr>
  </w:style>
  <w:style w:type="paragraph" w:customStyle="1" w:styleId="6">
    <w:name w:val="基准文本"/>
    <w:autoRedefine/>
    <w:qFormat/>
    <w:uiPriority w:val="0"/>
    <w:pPr>
      <w:tabs>
        <w:tab w:val="center" w:pos="4410"/>
        <w:tab w:val="right" w:pos="8820"/>
      </w:tabs>
      <w:spacing w:line="360" w:lineRule="auto"/>
      <w:ind w:firstLine="480" w:firstLineChars="200"/>
      <w:jc w:val="both"/>
    </w:pPr>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2024-04-29T01:21:00Z</dcterms:created>
  <dc:creator>NTKO</dc:creator>
  <cp:lastModifiedBy>NTKO</cp:lastModifiedBy>
  <dcterms:modified xsi:type="dcterms:W3CDTF">2024-04-29T01:44:32Z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38CC4E8627DF4B3B90715B3FA3E779A6_13</vt:lpwstr>
  </property>
</Properties>
</file>